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31FF1" w14:textId="300D85FD" w:rsidR="00511E10" w:rsidRPr="00987D8B" w:rsidRDefault="00511E10" w:rsidP="00987D8B">
      <w:pPr>
        <w:pStyle w:val="NormalWeb"/>
        <w:spacing w:before="0" w:beforeAutospacing="0" w:after="0" w:afterAutospacing="0"/>
        <w:ind w:firstLine="283"/>
        <w:jc w:val="center"/>
        <w:rPr>
          <w:rFonts w:ascii="Calibri" w:eastAsia="Calibri" w:hAnsi="Calibri" w:cstheme="minorHAnsi"/>
          <w:b/>
          <w:i/>
          <w:sz w:val="20"/>
          <w:szCs w:val="20"/>
          <w:u w:val="single"/>
        </w:rPr>
      </w:pPr>
      <w:r w:rsidRPr="00987D8B">
        <w:rPr>
          <w:rFonts w:ascii="Calibri" w:eastAsia="Calibri" w:hAnsi="Calibri" w:cstheme="minorHAnsi"/>
          <w:b/>
          <w:i/>
          <w:sz w:val="20"/>
          <w:szCs w:val="20"/>
          <w:u w:val="single"/>
        </w:rPr>
        <w:t xml:space="preserve">Anexo </w:t>
      </w:r>
      <w:r w:rsidR="00D8013F" w:rsidRPr="00987D8B">
        <w:rPr>
          <w:rFonts w:ascii="Calibri" w:eastAsia="Calibri" w:hAnsi="Calibri" w:cstheme="minorHAnsi"/>
          <w:b/>
          <w:i/>
          <w:sz w:val="20"/>
          <w:szCs w:val="20"/>
          <w:u w:val="single"/>
        </w:rPr>
        <w:t>X</w:t>
      </w:r>
      <w:r w:rsidRPr="00987D8B">
        <w:rPr>
          <w:rFonts w:ascii="Calibri" w:eastAsia="Calibri" w:hAnsi="Calibri" w:cstheme="minorHAnsi"/>
          <w:b/>
          <w:i/>
          <w:sz w:val="20"/>
          <w:szCs w:val="20"/>
          <w:u w:val="single"/>
        </w:rPr>
        <w:t xml:space="preserve"> do Termo de Referência – Procedimentos de responsabilidade administrativa</w:t>
      </w:r>
    </w:p>
    <w:p w14:paraId="64ED6519"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024C565D"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r w:rsidRPr="006B0026">
        <w:rPr>
          <w:rFonts w:ascii="Calibri" w:hAnsi="Calibri" w:cstheme="majorHAnsi"/>
          <w:sz w:val="20"/>
          <w:szCs w:val="20"/>
        </w:rPr>
        <w:t>1.    Nos termos do Título IV da Lei 14.133, de 1º de abril de 2021, o licitante/adjudicatário que cometer infrações administrativas até o momento da formalização do instrumento contratual, sem prejuízo e independentemente de sua desclassificação, bem como o contratado, fica sujeito à abertura de processo administrativo para a apuração de responsabilidade administrativa, nos limites e na conformidade à uniformização de modelos da AGU e no conjunto de diplomas normativos e obrigacionais e atos que sistematicamente regem a licitação e a contratação. As infrações abaixo discriminadas permitem a cominação de diversas penas e a imposição de penalidades maiores que o doravante consignado, condicionadas à adequada fundamentação para o fim de compatibilizar a devida reprimenda às condutas em sua efetiva gravidade, inclusive a majoração percentual e de valor da pena assinalada.</w:t>
      </w:r>
    </w:p>
    <w:p w14:paraId="4599DEF0"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Dentre outros comportamentos e demais consequências, como penais e cíveis, administrativamente, os licitantes também se sujeitam às cominadas penas para as correlatas infrações, que têm sede legal nos termos do artigo 156 da Lei 14.133/21, sem prejuízo das aqui versadas.</w:t>
      </w:r>
    </w:p>
    <w:p w14:paraId="3B0A7D06"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1C6B25E0"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A apuração de responsabilidade por infrações administrativas de licitantes no transcurso licitatório tem por base a capitulação das seguintes ilicitudes em decorrência dos identificados, sancionados até os limites indicados:</w:t>
      </w:r>
    </w:p>
    <w:p w14:paraId="5598BBEB"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5F6E1364" w14:textId="77777777" w:rsidR="00511E10" w:rsidRPr="006B0026" w:rsidRDefault="00511E10" w:rsidP="00A30541">
      <w:pPr>
        <w:pStyle w:val="NormalWeb"/>
        <w:numPr>
          <w:ilvl w:val="0"/>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u w:val="single"/>
        </w:rPr>
        <w:t>Não manutenção da proposta ou lance</w:t>
      </w:r>
      <w:r w:rsidRPr="006B0026">
        <w:rPr>
          <w:rFonts w:ascii="Calibri" w:hAnsi="Calibri" w:cstheme="majorHAnsi"/>
          <w:sz w:val="20"/>
          <w:szCs w:val="20"/>
        </w:rPr>
        <w:t>:</w:t>
      </w:r>
    </w:p>
    <w:p w14:paraId="1CEAC82F" w14:textId="77777777" w:rsidR="00511E10" w:rsidRPr="006B0026" w:rsidRDefault="00511E10" w:rsidP="00511E10">
      <w:pPr>
        <w:pStyle w:val="NormalWeb"/>
        <w:spacing w:before="0" w:beforeAutospacing="0" w:after="0" w:afterAutospacing="0"/>
        <w:ind w:left="420"/>
        <w:jc w:val="both"/>
        <w:rPr>
          <w:rFonts w:ascii="Calibri" w:hAnsi="Calibri" w:cstheme="majorHAnsi"/>
          <w:sz w:val="20"/>
          <w:szCs w:val="20"/>
        </w:rPr>
      </w:pPr>
    </w:p>
    <w:p w14:paraId="760E7947"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2.1. Desistência ou pedido de desclassificação:</w:t>
      </w:r>
    </w:p>
    <w:p w14:paraId="244FA091"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2.1.1. Da proposta:</w:t>
      </w:r>
    </w:p>
    <w:p w14:paraId="1DCF9340"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p>
    <w:p w14:paraId="3F50B70C"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Pena: multa de 1,5%, no valor mínimo de R$ 1.500,00</w:t>
      </w:r>
    </w:p>
    <w:p w14:paraId="168B1510"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p>
    <w:p w14:paraId="70B3C826"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2.1.2. Do lance final:</w:t>
      </w:r>
    </w:p>
    <w:p w14:paraId="3C1242A1"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p>
    <w:p w14:paraId="2392F8D3"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Pena: multa de 2% do valor do lance, no valor mínimo de R$ 2.000,00</w:t>
      </w:r>
    </w:p>
    <w:p w14:paraId="5860846D"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09C53845"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r w:rsidRPr="006B0026">
        <w:rPr>
          <w:rFonts w:ascii="Calibri" w:hAnsi="Calibri" w:cstheme="majorHAnsi"/>
          <w:sz w:val="20"/>
          <w:szCs w:val="20"/>
        </w:rPr>
        <w:t>2.1.3. O pedido de desclassificação não importará infração administrativa nas cumulativas situações devidamente reconhecidas pelo Pregoeiro, as quais se valem para demais tipificações e apreciações, também válidas para demais caracterizações para identificação de eventual infração administrativa, abertura de processo de apuração de responsabilidade e penalização, desta e demais infrações:</w:t>
      </w:r>
    </w:p>
    <w:p w14:paraId="6E0C6D67"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p>
    <w:p w14:paraId="6DCE0D6A"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r w:rsidRPr="006B0026">
        <w:rPr>
          <w:rFonts w:ascii="Calibri" w:hAnsi="Calibri" w:cstheme="majorHAnsi"/>
          <w:sz w:val="20"/>
          <w:szCs w:val="20"/>
        </w:rPr>
        <w:t>2.1.3.1. Fato superveniente;</w:t>
      </w:r>
    </w:p>
    <w:p w14:paraId="14E5853C"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p>
    <w:p w14:paraId="44350DA9"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r w:rsidRPr="006B0026">
        <w:rPr>
          <w:rFonts w:ascii="Calibri" w:hAnsi="Calibri" w:cstheme="majorHAnsi"/>
          <w:sz w:val="20"/>
          <w:szCs w:val="20"/>
        </w:rPr>
        <w:t>2.1.3.2. Boa-fé, a qual se presume na solicitação do licitante antes de sua convocação.</w:t>
      </w:r>
    </w:p>
    <w:p w14:paraId="4259F572"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p>
    <w:p w14:paraId="1029E338"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r w:rsidRPr="006B0026">
        <w:rPr>
          <w:rFonts w:ascii="Calibri" w:hAnsi="Calibri" w:cstheme="majorHAnsi"/>
          <w:sz w:val="20"/>
          <w:szCs w:val="20"/>
        </w:rPr>
        <w:t>2.1.3.3. Erro escusável. Consideram-se válidas as escusas, dentre outras:</w:t>
      </w:r>
    </w:p>
    <w:p w14:paraId="31FE95CA"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p>
    <w:p w14:paraId="0EC533F0"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r w:rsidRPr="006B0026">
        <w:rPr>
          <w:rFonts w:ascii="Calibri" w:hAnsi="Calibri" w:cstheme="majorHAnsi"/>
          <w:sz w:val="20"/>
          <w:szCs w:val="20"/>
        </w:rPr>
        <w:t>2.1.3.3.1. Erro na proposta sem oferta de lance na fase competitiva, considerando-se as especificações do produto ou serviço em cotejo com a demanda fixada no Edital.</w:t>
      </w:r>
    </w:p>
    <w:p w14:paraId="3E663197"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p>
    <w:p w14:paraId="7189388E"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r w:rsidRPr="006B0026">
        <w:rPr>
          <w:rFonts w:ascii="Calibri" w:hAnsi="Calibri" w:cstheme="majorHAnsi"/>
          <w:sz w:val="20"/>
          <w:szCs w:val="20"/>
        </w:rPr>
        <w:t>2.1.3.3.2. Erro no lance ofertado: pronta informação de erro pelo licitante, cotejada com demais elementos e informações aferidos pelo Agente de Contratação.</w:t>
      </w:r>
    </w:p>
    <w:p w14:paraId="384BA376"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p>
    <w:p w14:paraId="48CAB3B8"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r w:rsidRPr="006B0026">
        <w:rPr>
          <w:rFonts w:ascii="Calibri" w:hAnsi="Calibri" w:cstheme="majorHAnsi"/>
          <w:sz w:val="20"/>
          <w:szCs w:val="20"/>
        </w:rPr>
        <w:t xml:space="preserve">2.1.3.3.3. Expertise que se exige em cotejo com o objeto social, capital social, experiência, porte da empresa e produto ofertado, sem prejuízo do profissionalismo </w:t>
      </w:r>
      <w:r w:rsidRPr="006B0026">
        <w:rPr>
          <w:rFonts w:ascii="Calibri" w:hAnsi="Calibri" w:cstheme="majorHAnsi"/>
          <w:sz w:val="20"/>
          <w:szCs w:val="20"/>
        </w:rPr>
        <w:lastRenderedPageBreak/>
        <w:t xml:space="preserve">esperado no negócio, valor, essencialidade, </w:t>
      </w:r>
      <w:proofErr w:type="spellStart"/>
      <w:r w:rsidRPr="006B0026">
        <w:rPr>
          <w:rFonts w:ascii="Calibri" w:hAnsi="Calibri" w:cstheme="majorHAnsi"/>
          <w:sz w:val="20"/>
          <w:szCs w:val="20"/>
        </w:rPr>
        <w:t>ordinariedade</w:t>
      </w:r>
      <w:proofErr w:type="spellEnd"/>
      <w:r w:rsidRPr="006B0026">
        <w:rPr>
          <w:rFonts w:ascii="Calibri" w:hAnsi="Calibri" w:cstheme="majorHAnsi"/>
          <w:sz w:val="20"/>
          <w:szCs w:val="20"/>
        </w:rPr>
        <w:t>, custo do objeto, produto ou prestação de serviço.</w:t>
      </w:r>
    </w:p>
    <w:p w14:paraId="235D691F"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p>
    <w:p w14:paraId="5196847B" w14:textId="77777777" w:rsidR="00511E10" w:rsidRPr="006B0026" w:rsidRDefault="00511E10" w:rsidP="00A30541">
      <w:pPr>
        <w:pStyle w:val="NormalWeb"/>
        <w:numPr>
          <w:ilvl w:val="0"/>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u w:val="single"/>
        </w:rPr>
        <w:t>Não atender a diligência do Pregoeiro</w:t>
      </w:r>
      <w:r w:rsidRPr="006B0026">
        <w:rPr>
          <w:rFonts w:ascii="Calibri" w:hAnsi="Calibri" w:cstheme="majorHAnsi"/>
          <w:sz w:val="20"/>
          <w:szCs w:val="20"/>
        </w:rPr>
        <w:t>, em conformidade às condições prescritas, na forma, tempo e modo de regência, para as finalidades de ajustar, apresentar, adequar:</w:t>
      </w:r>
    </w:p>
    <w:p w14:paraId="166541B2" w14:textId="77777777" w:rsidR="00511E10" w:rsidRPr="006B0026" w:rsidRDefault="00511E10" w:rsidP="00511E10">
      <w:pPr>
        <w:pStyle w:val="NormalWeb"/>
        <w:spacing w:before="0" w:beforeAutospacing="0" w:after="0" w:afterAutospacing="0"/>
        <w:ind w:left="420"/>
        <w:jc w:val="both"/>
        <w:rPr>
          <w:rFonts w:ascii="Calibri" w:hAnsi="Calibri" w:cstheme="majorHAnsi"/>
          <w:sz w:val="20"/>
          <w:szCs w:val="20"/>
        </w:rPr>
      </w:pPr>
    </w:p>
    <w:p w14:paraId="4596096E"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Proposta de preços. </w:t>
      </w:r>
    </w:p>
    <w:p w14:paraId="27F48A8B"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2,5% do valor da proposta ou lance, no valor mínimo de R$ 2.500,00.</w:t>
      </w:r>
    </w:p>
    <w:p w14:paraId="6B73B835"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516EAE8E"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Documentos de habilitação. </w:t>
      </w:r>
    </w:p>
    <w:p w14:paraId="1E2B6D9B"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2,5% do valor da proposta ou lance, no valor mínimo de R$ 2.500,00.</w:t>
      </w:r>
    </w:p>
    <w:p w14:paraId="03189BFE"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62251A17"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Amostras. </w:t>
      </w:r>
    </w:p>
    <w:p w14:paraId="4466D4C0"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3% do valor da proposta ou lance, no valor mínimo de R$ 3.000,00</w:t>
      </w:r>
    </w:p>
    <w:p w14:paraId="37FCA5EA"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7275C584"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Demais desatendimentos à convocação do Pregoeiro. </w:t>
      </w:r>
    </w:p>
    <w:p w14:paraId="2B274C0B"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2% do valor da proposta ou lance, no valor mínimo de R$ 2.000,00.</w:t>
      </w:r>
    </w:p>
    <w:p w14:paraId="1D9D1BD6"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2F41B26A" w14:textId="77777777" w:rsidR="00511E10" w:rsidRPr="006B0026" w:rsidRDefault="00511E10" w:rsidP="00A30541">
      <w:pPr>
        <w:pStyle w:val="NormalWeb"/>
        <w:numPr>
          <w:ilvl w:val="0"/>
          <w:numId w:val="8"/>
        </w:numPr>
        <w:tabs>
          <w:tab w:val="left" w:pos="426"/>
        </w:tabs>
        <w:spacing w:before="0" w:beforeAutospacing="0" w:after="0" w:afterAutospacing="0"/>
        <w:jc w:val="both"/>
        <w:rPr>
          <w:rFonts w:ascii="Calibri" w:hAnsi="Calibri" w:cstheme="majorHAnsi"/>
          <w:sz w:val="20"/>
          <w:szCs w:val="20"/>
          <w:u w:val="single"/>
        </w:rPr>
      </w:pPr>
      <w:r w:rsidRPr="006B0026">
        <w:rPr>
          <w:rFonts w:ascii="Calibri" w:hAnsi="Calibri" w:cstheme="majorHAnsi"/>
          <w:sz w:val="20"/>
          <w:szCs w:val="20"/>
          <w:u w:val="single"/>
        </w:rPr>
        <w:t>Não apresentação de proposta válida:</w:t>
      </w:r>
    </w:p>
    <w:p w14:paraId="066665E7" w14:textId="77777777" w:rsidR="00511E10" w:rsidRPr="006B0026" w:rsidRDefault="00511E10" w:rsidP="00511E10">
      <w:pPr>
        <w:pStyle w:val="NormalWeb"/>
        <w:tabs>
          <w:tab w:val="left" w:pos="426"/>
        </w:tabs>
        <w:spacing w:before="0" w:beforeAutospacing="0" w:after="0" w:afterAutospacing="0"/>
        <w:ind w:left="420"/>
        <w:jc w:val="both"/>
        <w:rPr>
          <w:rFonts w:ascii="Calibri" w:hAnsi="Calibri" w:cstheme="majorHAnsi"/>
          <w:sz w:val="20"/>
          <w:szCs w:val="20"/>
        </w:rPr>
      </w:pPr>
    </w:p>
    <w:p w14:paraId="215FF6C8"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4.1. </w:t>
      </w:r>
      <w:r w:rsidRPr="006B0026">
        <w:rPr>
          <w:rFonts w:ascii="Calibri" w:hAnsi="Calibri" w:cstheme="majorHAnsi"/>
          <w:sz w:val="20"/>
          <w:szCs w:val="20"/>
        </w:rPr>
        <w:tab/>
        <w:t>Não adequação da proposta de preço, com o ajuste e especificação de seus componentes em decorrência do lance em cotejo com a original proposta apresentada.</w:t>
      </w:r>
    </w:p>
    <w:p w14:paraId="798B2268" w14:textId="77777777" w:rsidR="00511E10" w:rsidRPr="006B0026" w:rsidRDefault="00511E10" w:rsidP="00511E10">
      <w:pPr>
        <w:pStyle w:val="NormalWeb"/>
        <w:spacing w:before="0" w:beforeAutospacing="0" w:after="0" w:afterAutospacing="0"/>
        <w:ind w:left="1418" w:hanging="2"/>
        <w:jc w:val="both"/>
        <w:rPr>
          <w:rFonts w:ascii="Calibri" w:hAnsi="Calibri" w:cstheme="majorHAnsi"/>
          <w:sz w:val="20"/>
          <w:szCs w:val="20"/>
        </w:rPr>
      </w:pPr>
      <w:r w:rsidRPr="006B0026">
        <w:rPr>
          <w:rFonts w:ascii="Calibri" w:hAnsi="Calibri" w:cstheme="majorHAnsi"/>
          <w:sz w:val="20"/>
          <w:szCs w:val="20"/>
        </w:rPr>
        <w:t>Pena: multa de 4% do valor da proposta ou lance, no valor mínimo de R$ 4.000,00.</w:t>
      </w:r>
    </w:p>
    <w:p w14:paraId="69B3E21F" w14:textId="77777777" w:rsidR="00511E10" w:rsidRPr="006B0026" w:rsidRDefault="00511E10" w:rsidP="00511E10">
      <w:pPr>
        <w:pStyle w:val="NormalWeb"/>
        <w:spacing w:before="0" w:beforeAutospacing="0" w:after="0" w:afterAutospacing="0"/>
        <w:ind w:left="1418" w:hanging="2"/>
        <w:jc w:val="both"/>
        <w:rPr>
          <w:rFonts w:ascii="Calibri" w:hAnsi="Calibri" w:cstheme="majorHAnsi"/>
          <w:sz w:val="20"/>
          <w:szCs w:val="20"/>
        </w:rPr>
      </w:pPr>
    </w:p>
    <w:p w14:paraId="34F6A04B"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4.2.      Resposta à convocação do Pregoeiro ou resposta à diligência do Pregoeiro, a exemplo de proposta de preços, documentos de habilitação e amostras solicitadas em manifesta desconformidade às condições clara e objetivamente definidas no Edital;</w:t>
      </w:r>
    </w:p>
    <w:p w14:paraId="74703FB3"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 multa de 7% do valor da proposta ou lance, no valor mínimo de R$ 7.000,00.</w:t>
      </w:r>
    </w:p>
    <w:p w14:paraId="1148A9CB"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2BA69CA6"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r w:rsidRPr="006B0026">
        <w:rPr>
          <w:rFonts w:ascii="Calibri" w:hAnsi="Calibri" w:cstheme="majorHAnsi"/>
          <w:sz w:val="20"/>
          <w:szCs w:val="20"/>
        </w:rPr>
        <w:t>4.2.1. Enquadra-se nas condutas ilícitas descritas, quem em eventual comunicação de recebimento da demanda, não entrega efetivamente as informações, documentos e remessas solicitadas.</w:t>
      </w:r>
    </w:p>
    <w:p w14:paraId="31D46638"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p>
    <w:p w14:paraId="3C624AFC"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4.3.      Apresentar lance ou proposta manifestamente inexequível, considerando-se como tal, quaisquer das situações:</w:t>
      </w:r>
    </w:p>
    <w:p w14:paraId="21E37AD1"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p>
    <w:p w14:paraId="2EEB7287"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4.3.1. Não suporte os custos mínimos normativamente obrigatórios;</w:t>
      </w:r>
    </w:p>
    <w:p w14:paraId="19956D47"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148DF42B"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4.3.2. Não comprove contemplar os custos materialmente necessários ou economicamente sustentáveis à viabilidade do objeto licitado;</w:t>
      </w:r>
    </w:p>
    <w:p w14:paraId="24DCD204"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4671A65D"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4.3.3. Não comprove deter patrimônio líquido, disponível e livre de quaisquer obrigações ou indícios de que se vincule a diversa responsabilidade denotando suporte econômico-patrimonial para arcar com os custos referidos nos itens precedentes quando sejam maiores que o lucro estimado em decorrência do lance apresentado.</w:t>
      </w:r>
    </w:p>
    <w:p w14:paraId="11081F7F"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7FACF937"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 multa de 10% do valor da proposta ou lance, no valor mínimo de R$ 10.000,00.</w:t>
      </w:r>
    </w:p>
    <w:p w14:paraId="29E1A805"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50F7972A"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4.4. </w:t>
      </w:r>
      <w:r w:rsidRPr="006B0026">
        <w:rPr>
          <w:rFonts w:ascii="Calibri" w:hAnsi="Calibri" w:cstheme="majorHAnsi"/>
          <w:sz w:val="20"/>
          <w:szCs w:val="20"/>
        </w:rPr>
        <w:tab/>
        <w:t>Apresentar objeto inadequado aos termos do Edital, considerando-se como tal, dentre outras situações:</w:t>
      </w:r>
    </w:p>
    <w:p w14:paraId="456F0DCF"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p>
    <w:p w14:paraId="50719916"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4.4.1. Especificação que impeça o funcionamento do produto ou a viabilização da prestação do serviço conforme demandado pela Administração;</w:t>
      </w:r>
    </w:p>
    <w:p w14:paraId="310AC77F"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05941933"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4.4.2. Majoritário ou essencial desatendimento das especificações do produto ou serviço;</w:t>
      </w:r>
    </w:p>
    <w:p w14:paraId="1D9766A3"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54493C07"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4.4.3. Frontal desconformidade das especificações que definiram a razão de ser do certame.</w:t>
      </w:r>
    </w:p>
    <w:p w14:paraId="1890B6F5"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02C78363"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 multa de 3% do valor da proposta ou lance, no valor mínimo de R$ 3.000,00.</w:t>
      </w:r>
    </w:p>
    <w:p w14:paraId="3B083126"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445263E3"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4.5. </w:t>
      </w:r>
      <w:r w:rsidRPr="006B0026">
        <w:rPr>
          <w:rFonts w:ascii="Calibri" w:hAnsi="Calibri" w:cstheme="majorHAnsi"/>
          <w:sz w:val="20"/>
          <w:szCs w:val="20"/>
        </w:rPr>
        <w:tab/>
        <w:t>A caracterização das infrações de oferta de lance ou proposta manifestamente inexequível e oferta de objeto inadequado ao Edital requer indícios de materialidade a serem constatados pelo Pregoeiro, após outorgar a oportunidade de manifestação do licitante em atendimento à sua convocação em diligência.</w:t>
      </w:r>
    </w:p>
    <w:p w14:paraId="27CEC738"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42BD7B52"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r w:rsidRPr="006B0026">
        <w:rPr>
          <w:rFonts w:ascii="Calibri" w:hAnsi="Calibri" w:cstheme="majorHAnsi"/>
          <w:sz w:val="20"/>
          <w:szCs w:val="20"/>
        </w:rPr>
        <w:t xml:space="preserve">5. </w:t>
      </w:r>
      <w:r w:rsidRPr="006B0026">
        <w:rPr>
          <w:rFonts w:ascii="Calibri" w:hAnsi="Calibri" w:cstheme="majorHAnsi"/>
          <w:sz w:val="20"/>
          <w:szCs w:val="20"/>
        </w:rPr>
        <w:tab/>
      </w:r>
      <w:r w:rsidRPr="006B0026">
        <w:rPr>
          <w:rFonts w:ascii="Calibri" w:hAnsi="Calibri" w:cstheme="majorHAnsi"/>
          <w:sz w:val="20"/>
          <w:szCs w:val="20"/>
          <w:u w:val="single"/>
        </w:rPr>
        <w:t>Não formalização contratual</w:t>
      </w:r>
      <w:r w:rsidRPr="006B0026">
        <w:rPr>
          <w:rFonts w:ascii="Calibri" w:hAnsi="Calibri" w:cstheme="majorHAnsi"/>
          <w:sz w:val="20"/>
          <w:szCs w:val="20"/>
        </w:rPr>
        <w:t>, enquadrando-se na infração, dentre outros comportamentos, não celebrar o contrato ou não entregar a documentação exigida para a contratação, quando convocado dentro do prazo de validade de sua proposta, a não entrega de documentação necessária inviabilizando a assinatura do contrato ou não assinar contrato, estando, em qualquer situação, no prazo de validade da proposta:</w:t>
      </w:r>
    </w:p>
    <w:p w14:paraId="7A30D9AB"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3F1B7001"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r w:rsidRPr="006B0026">
        <w:rPr>
          <w:rFonts w:ascii="Calibri" w:hAnsi="Calibri" w:cstheme="majorHAnsi"/>
          <w:sz w:val="20"/>
          <w:szCs w:val="20"/>
        </w:rPr>
        <w:t>Penas:</w:t>
      </w:r>
    </w:p>
    <w:p w14:paraId="1AA4AC02"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r w:rsidRPr="006B0026">
        <w:rPr>
          <w:rFonts w:ascii="Calibri" w:hAnsi="Calibri" w:cstheme="majorHAnsi"/>
          <w:sz w:val="20"/>
          <w:szCs w:val="20"/>
        </w:rPr>
        <w:t>Multa de 10% do valor total da proposta ou lance final, no valor mínimo de R$ 10.000,00; e</w:t>
      </w:r>
    </w:p>
    <w:p w14:paraId="3A6793CE"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r w:rsidRPr="006B0026">
        <w:rPr>
          <w:rFonts w:ascii="Calibri" w:hAnsi="Calibri" w:cstheme="majorHAnsi"/>
          <w:sz w:val="20"/>
          <w:szCs w:val="20"/>
        </w:rPr>
        <w:t>Impedimento de licitar e de contratar com a União por 18 meses.</w:t>
      </w:r>
    </w:p>
    <w:p w14:paraId="329E1FD3"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7737C142"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6.    </w:t>
      </w:r>
      <w:r w:rsidRPr="006B0026">
        <w:rPr>
          <w:rFonts w:ascii="Calibri" w:hAnsi="Calibri" w:cstheme="majorHAnsi"/>
          <w:sz w:val="20"/>
          <w:szCs w:val="20"/>
          <w:u w:val="single"/>
        </w:rPr>
        <w:t>Comportamento inidôneo</w:t>
      </w:r>
      <w:r w:rsidRPr="006B0026">
        <w:rPr>
          <w:rFonts w:ascii="Calibri" w:hAnsi="Calibri" w:cstheme="majorHAnsi"/>
          <w:sz w:val="20"/>
          <w:szCs w:val="20"/>
        </w:rPr>
        <w:t>, considerando-se, dentre outros:</w:t>
      </w:r>
    </w:p>
    <w:p w14:paraId="30FDF87D"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1A32A276" w14:textId="77777777" w:rsidR="00511E10" w:rsidRPr="006B0026" w:rsidRDefault="00511E10" w:rsidP="00511E10">
      <w:pPr>
        <w:pStyle w:val="NormalWeb"/>
        <w:spacing w:before="0" w:beforeAutospacing="0" w:after="0" w:afterAutospacing="0"/>
        <w:ind w:left="1416" w:hanging="707"/>
        <w:jc w:val="both"/>
        <w:rPr>
          <w:rFonts w:ascii="Calibri" w:hAnsi="Calibri" w:cstheme="majorHAnsi"/>
          <w:sz w:val="20"/>
          <w:szCs w:val="20"/>
        </w:rPr>
      </w:pPr>
      <w:r w:rsidRPr="006B0026">
        <w:rPr>
          <w:rFonts w:ascii="Calibri" w:hAnsi="Calibri" w:cstheme="majorHAnsi"/>
          <w:sz w:val="20"/>
          <w:szCs w:val="20"/>
        </w:rPr>
        <w:t xml:space="preserve">6.1. </w:t>
      </w:r>
      <w:r w:rsidRPr="006B0026">
        <w:rPr>
          <w:rFonts w:ascii="Calibri" w:hAnsi="Calibri" w:cstheme="majorHAnsi"/>
          <w:sz w:val="20"/>
          <w:szCs w:val="20"/>
        </w:rPr>
        <w:tab/>
        <w:t>Participar do certame em situação restritiva que o impeça, a exemplo de licitante impedida, suspensa do direito de licitar ou contratar, descredenciado no SICAF</w:t>
      </w:r>
    </w:p>
    <w:p w14:paraId="238F548C"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Penas:</w:t>
      </w:r>
    </w:p>
    <w:p w14:paraId="4CAB43DE"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Multa de 7% do valor total da proposta ou lance final, no valor mínimo de R$ 7.000,00; e</w:t>
      </w:r>
    </w:p>
    <w:p w14:paraId="615780A6" w14:textId="77777777" w:rsidR="00511E10" w:rsidRPr="006B0026" w:rsidRDefault="00511E10" w:rsidP="00511E10">
      <w:pPr>
        <w:pStyle w:val="NormalWeb"/>
        <w:spacing w:before="0" w:beforeAutospacing="0" w:after="0" w:afterAutospacing="0"/>
        <w:ind w:left="1418"/>
        <w:jc w:val="both"/>
        <w:rPr>
          <w:rFonts w:ascii="Calibri" w:hAnsi="Calibri" w:cstheme="majorHAnsi"/>
          <w:sz w:val="20"/>
          <w:szCs w:val="20"/>
        </w:rPr>
      </w:pPr>
      <w:r w:rsidRPr="006B0026">
        <w:rPr>
          <w:rFonts w:ascii="Calibri" w:hAnsi="Calibri" w:cstheme="majorHAnsi"/>
          <w:sz w:val="20"/>
          <w:szCs w:val="20"/>
        </w:rPr>
        <w:t>Suspensão temporária de participação em licitação e impedimento de contratar com a ANEEL por 24 meses.</w:t>
      </w:r>
    </w:p>
    <w:p w14:paraId="74EF5ACF" w14:textId="77777777" w:rsidR="00511E10" w:rsidRPr="006B0026" w:rsidRDefault="00511E10" w:rsidP="00511E10">
      <w:pPr>
        <w:pStyle w:val="NormalWeb"/>
        <w:spacing w:before="0" w:beforeAutospacing="0" w:after="0" w:afterAutospacing="0"/>
        <w:ind w:left="1418"/>
        <w:jc w:val="both"/>
        <w:rPr>
          <w:rFonts w:ascii="Calibri" w:hAnsi="Calibri" w:cstheme="majorHAnsi"/>
          <w:sz w:val="20"/>
          <w:szCs w:val="20"/>
        </w:rPr>
      </w:pPr>
    </w:p>
    <w:p w14:paraId="1D7BB6BB"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 xml:space="preserve">6.2. </w:t>
      </w:r>
      <w:r w:rsidRPr="006B0026">
        <w:rPr>
          <w:rFonts w:ascii="Calibri" w:hAnsi="Calibri" w:cstheme="majorHAnsi"/>
          <w:sz w:val="20"/>
          <w:szCs w:val="20"/>
        </w:rPr>
        <w:tab/>
        <w:t>Licitante não habilitada ou não qualificada</w:t>
      </w:r>
    </w:p>
    <w:p w14:paraId="2E1DDD68"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Penas:</w:t>
      </w:r>
    </w:p>
    <w:p w14:paraId="4AC39E78"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Multa de 10% do valor total da proposta ou lance final, no valor mínimo de R$ 10.000,00; e</w:t>
      </w:r>
    </w:p>
    <w:p w14:paraId="4DA34A91"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Suspensão temporária de participação em licitação e impedimento de contratar com a ANEEL por 12 meses.</w:t>
      </w:r>
    </w:p>
    <w:p w14:paraId="0C7088E0" w14:textId="77777777" w:rsidR="00511E10" w:rsidRPr="006B0026" w:rsidRDefault="00511E10" w:rsidP="00511E10">
      <w:pPr>
        <w:pStyle w:val="NormalWeb"/>
        <w:spacing w:before="0" w:beforeAutospacing="0" w:after="0" w:afterAutospacing="0"/>
        <w:ind w:left="708"/>
        <w:jc w:val="both"/>
        <w:rPr>
          <w:rFonts w:ascii="Calibri" w:hAnsi="Calibri" w:cstheme="majorHAnsi"/>
          <w:sz w:val="20"/>
          <w:szCs w:val="20"/>
        </w:rPr>
      </w:pPr>
    </w:p>
    <w:p w14:paraId="543FB7F0"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 xml:space="preserve">6.3. </w:t>
      </w:r>
      <w:r w:rsidRPr="006B0026">
        <w:rPr>
          <w:rFonts w:ascii="Calibri" w:hAnsi="Calibri" w:cstheme="majorHAnsi"/>
          <w:sz w:val="20"/>
          <w:szCs w:val="20"/>
        </w:rPr>
        <w:tab/>
        <w:t>Falsidade documental ou ideológica</w:t>
      </w:r>
    </w:p>
    <w:p w14:paraId="2B8065BA"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Penas:</w:t>
      </w:r>
    </w:p>
    <w:p w14:paraId="77CB6DDA"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Multa de 20% do valor total da proposta ou lance final, no valor mínimo de R$ 20.000,00; e</w:t>
      </w:r>
    </w:p>
    <w:p w14:paraId="524249DE"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Impedimento do direito de licitar e contratar com a União por 30 meses.</w:t>
      </w:r>
    </w:p>
    <w:p w14:paraId="5418A549" w14:textId="77777777" w:rsidR="00511E10" w:rsidRPr="006B0026" w:rsidRDefault="00511E10" w:rsidP="00511E10">
      <w:pPr>
        <w:pStyle w:val="NormalWeb"/>
        <w:spacing w:before="0" w:beforeAutospacing="0" w:after="0" w:afterAutospacing="0"/>
        <w:ind w:left="708"/>
        <w:jc w:val="both"/>
        <w:rPr>
          <w:rFonts w:ascii="Calibri" w:hAnsi="Calibri" w:cstheme="majorHAnsi"/>
          <w:sz w:val="20"/>
          <w:szCs w:val="20"/>
        </w:rPr>
      </w:pPr>
    </w:p>
    <w:p w14:paraId="5089C0FA"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6.3.1. Considera-se, dentre outras, documentação falsa, a apresentação de:</w:t>
      </w:r>
    </w:p>
    <w:p w14:paraId="4FBD2065"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259099E9"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6.3.1.1. Documento com conteúdo falso;</w:t>
      </w:r>
    </w:p>
    <w:p w14:paraId="376D439B"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6.3.1.2. Documentação com emenda ou rasura que prejudique a veracidade de informações;</w:t>
      </w:r>
    </w:p>
    <w:p w14:paraId="75C7617B"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r w:rsidRPr="006B0026">
        <w:rPr>
          <w:rFonts w:ascii="Calibri" w:hAnsi="Calibri" w:cstheme="majorHAnsi"/>
          <w:sz w:val="20"/>
          <w:szCs w:val="20"/>
        </w:rPr>
        <w:t>6.3.1.3. Declaração falsa quanto ao enquadramento como ME/EPP e para efeito do Decreto nº 7.174/2010 e normativas que se sucederem;</w:t>
      </w:r>
    </w:p>
    <w:p w14:paraId="7CF39328" w14:textId="77777777" w:rsidR="00511E10" w:rsidRPr="006B0026" w:rsidRDefault="00511E10" w:rsidP="00511E10">
      <w:pPr>
        <w:pStyle w:val="NormalWeb"/>
        <w:spacing w:before="0" w:beforeAutospacing="0" w:after="0" w:afterAutospacing="0"/>
        <w:ind w:left="2835" w:hanging="711"/>
        <w:jc w:val="both"/>
        <w:rPr>
          <w:rFonts w:ascii="Calibri" w:hAnsi="Calibri" w:cstheme="majorHAnsi"/>
          <w:sz w:val="20"/>
          <w:szCs w:val="20"/>
        </w:rPr>
      </w:pPr>
      <w:r w:rsidRPr="006B0026">
        <w:rPr>
          <w:rFonts w:ascii="Calibri" w:hAnsi="Calibri" w:cstheme="majorHAnsi"/>
          <w:sz w:val="20"/>
          <w:szCs w:val="20"/>
        </w:rPr>
        <w:t>6.3.1.4. Apresentar declaração ou documentação falsa exigida para o certame ou prestar declaração falsa durante a licitação ou a execução do contrato;</w:t>
      </w:r>
    </w:p>
    <w:p w14:paraId="27615FE4"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6.3.1.5. Comportar-se de modo inidôneo.</w:t>
      </w:r>
    </w:p>
    <w:p w14:paraId="5DA87921"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p>
    <w:p w14:paraId="233BD5E2"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7.      Frustrar o caráter competitivo do certame; agir em conluio ou em desconformidade com a lei, em qualquer momento da licitação, mesmo após o encerramento da fase de lances; induzir a erro no julgamento; modificar a proposta apresentada, a exemplo de incluir, retirar ou alterar propostas e especificações do objeto apresentado, da qualificação e habilitação do licitante; agir com fraude, inclusive fiscal; fraudar a licitação ou praticar ato fraudulento na execução do contrato; ou cometer fraude de qualquer natureza; praticar atos ilícitos com vistas a frustrar os objetivos da licitação; praticar ato lesivo previsto no art. 5º da Lei nº 12.846, de 1º de agosto de 2013.</w:t>
      </w:r>
    </w:p>
    <w:p w14:paraId="49891259" w14:textId="77777777" w:rsidR="00511E10" w:rsidRPr="006B0026" w:rsidRDefault="00511E10" w:rsidP="00511E10">
      <w:pPr>
        <w:pStyle w:val="NormalWeb"/>
        <w:spacing w:before="0" w:beforeAutospacing="0" w:after="0" w:afterAutospacing="0"/>
        <w:ind w:left="567"/>
        <w:jc w:val="both"/>
        <w:rPr>
          <w:rFonts w:ascii="Calibri" w:hAnsi="Calibri" w:cstheme="majorHAnsi"/>
          <w:sz w:val="20"/>
          <w:szCs w:val="20"/>
        </w:rPr>
      </w:pPr>
      <w:r w:rsidRPr="006B0026">
        <w:rPr>
          <w:rFonts w:ascii="Calibri" w:hAnsi="Calibri" w:cstheme="majorHAnsi"/>
          <w:sz w:val="20"/>
          <w:szCs w:val="20"/>
        </w:rPr>
        <w:t>Penas:</w:t>
      </w:r>
    </w:p>
    <w:p w14:paraId="2A91B29B" w14:textId="77777777" w:rsidR="00511E10" w:rsidRPr="006B0026" w:rsidRDefault="00511E10" w:rsidP="00511E10">
      <w:pPr>
        <w:pStyle w:val="NormalWeb"/>
        <w:spacing w:before="0" w:beforeAutospacing="0" w:after="0" w:afterAutospacing="0"/>
        <w:ind w:left="567"/>
        <w:jc w:val="both"/>
        <w:rPr>
          <w:rFonts w:ascii="Calibri" w:hAnsi="Calibri" w:cstheme="majorHAnsi"/>
          <w:sz w:val="20"/>
          <w:szCs w:val="20"/>
        </w:rPr>
      </w:pPr>
      <w:r w:rsidRPr="006B0026">
        <w:rPr>
          <w:rFonts w:ascii="Calibri" w:hAnsi="Calibri" w:cstheme="majorHAnsi"/>
          <w:sz w:val="20"/>
          <w:szCs w:val="20"/>
        </w:rPr>
        <w:t>Multa de 25% do valor total da proposta ou lance final, no valor mínimo de R$ 25.000,00; e</w:t>
      </w:r>
    </w:p>
    <w:p w14:paraId="327DA8B8" w14:textId="77777777" w:rsidR="00511E10" w:rsidRPr="006B0026" w:rsidRDefault="00511E10" w:rsidP="00511E10">
      <w:pPr>
        <w:pStyle w:val="NormalWeb"/>
        <w:spacing w:before="0" w:beforeAutospacing="0" w:after="0" w:afterAutospacing="0"/>
        <w:ind w:left="567"/>
        <w:jc w:val="both"/>
        <w:rPr>
          <w:rFonts w:ascii="Calibri" w:hAnsi="Calibri" w:cstheme="majorHAnsi"/>
          <w:sz w:val="20"/>
          <w:szCs w:val="20"/>
        </w:rPr>
      </w:pPr>
      <w:r w:rsidRPr="006B0026">
        <w:rPr>
          <w:rFonts w:ascii="Calibri" w:hAnsi="Calibri" w:cstheme="majorHAnsi"/>
          <w:sz w:val="20"/>
          <w:szCs w:val="20"/>
        </w:rPr>
        <w:t>Impedimento do direito de licitar e contratar com a União por 36 meses.</w:t>
      </w:r>
    </w:p>
    <w:p w14:paraId="19BE6E77"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p>
    <w:p w14:paraId="39A099FB"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8.       Ensejar o retardamento da execução ou da entrega do objeto da licitação sem motivo justificado.</w:t>
      </w:r>
    </w:p>
    <w:p w14:paraId="61400859"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          Pena mínima de multa entre 5% e 20% do valor do contrato.</w:t>
      </w:r>
    </w:p>
    <w:p w14:paraId="708D3A30"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74FE26F0" w14:textId="77777777" w:rsidR="00511E10" w:rsidRPr="006B0026" w:rsidRDefault="00511E10" w:rsidP="00511E10">
      <w:pPr>
        <w:pStyle w:val="NormalWeb"/>
        <w:tabs>
          <w:tab w:val="left" w:pos="567"/>
        </w:tabs>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9.       Dar causa à inexecução parcial do contrato.</w:t>
      </w:r>
    </w:p>
    <w:p w14:paraId="5528CDC8" w14:textId="77777777" w:rsidR="00511E10" w:rsidRPr="006B0026" w:rsidRDefault="00511E10" w:rsidP="00511E10">
      <w:pPr>
        <w:pStyle w:val="NormalWeb"/>
        <w:tabs>
          <w:tab w:val="left" w:pos="567"/>
        </w:tabs>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          Pena mínima de multa entre 10% e 25% do valor do contrato.</w:t>
      </w:r>
    </w:p>
    <w:p w14:paraId="196B5098"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44FF9004"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10.    Dar causa à inexecução parcial do contrato que cause grave dano à Administração, ao funcionamento dos   serviços  públicos ou ao interesse coletivo;</w:t>
      </w:r>
    </w:p>
    <w:p w14:paraId="1B44B728" w14:textId="77777777" w:rsidR="00511E10" w:rsidRPr="006B0026" w:rsidRDefault="00511E10" w:rsidP="00511E10">
      <w:pPr>
        <w:pStyle w:val="NormalWeb"/>
        <w:spacing w:before="0" w:beforeAutospacing="0" w:after="0" w:afterAutospacing="0"/>
        <w:ind w:firstLine="567"/>
        <w:jc w:val="both"/>
        <w:rPr>
          <w:rFonts w:ascii="Calibri" w:hAnsi="Calibri" w:cstheme="majorHAnsi"/>
          <w:sz w:val="20"/>
          <w:szCs w:val="20"/>
        </w:rPr>
      </w:pPr>
      <w:r w:rsidRPr="006B0026">
        <w:rPr>
          <w:rFonts w:ascii="Calibri" w:hAnsi="Calibri" w:cstheme="majorHAnsi"/>
          <w:sz w:val="20"/>
          <w:szCs w:val="20"/>
        </w:rPr>
        <w:t>Pena mínima de multa entre 15% e 30% do valor do contrato.</w:t>
      </w:r>
    </w:p>
    <w:p w14:paraId="36333ADF" w14:textId="77777777" w:rsidR="00511E10" w:rsidRPr="006B0026" w:rsidRDefault="00511E10" w:rsidP="00511E10">
      <w:pPr>
        <w:pStyle w:val="NormalWeb"/>
        <w:spacing w:before="0" w:beforeAutospacing="0" w:after="0" w:afterAutospacing="0"/>
        <w:ind w:firstLine="426"/>
        <w:jc w:val="both"/>
        <w:rPr>
          <w:rFonts w:ascii="Calibri" w:hAnsi="Calibri" w:cstheme="majorHAnsi"/>
          <w:sz w:val="20"/>
          <w:szCs w:val="20"/>
        </w:rPr>
      </w:pPr>
    </w:p>
    <w:p w14:paraId="66663F79"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11.     Dar causa à inexecução total do contrato;</w:t>
      </w:r>
    </w:p>
    <w:p w14:paraId="7B9DE337"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          Pena mínima de multa entre 20% e 30% do valor do contrato.</w:t>
      </w:r>
    </w:p>
    <w:p w14:paraId="7322A226"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12B37EAC"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12.    A autoridade competente, na aplicação das sanções, apreciará as justificativas arguidas, considerará o princípio da proporcionalidade, a gravidade da conduta do infrator, o caráter educativo da pena e o dano causado à Administração, embora não se confundam a responsabilidade civil com a administrativa e parâmetros estipulados na infração de desistência.</w:t>
      </w:r>
    </w:p>
    <w:p w14:paraId="0B0F517F"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65B633C6" w14:textId="77777777" w:rsidR="00511E10" w:rsidRPr="006B0026" w:rsidRDefault="00511E10" w:rsidP="00511E10">
      <w:pPr>
        <w:pStyle w:val="NormalWeb"/>
        <w:spacing w:before="0" w:beforeAutospacing="0" w:after="0" w:afterAutospacing="0"/>
        <w:ind w:left="993" w:hanging="567"/>
        <w:jc w:val="both"/>
        <w:rPr>
          <w:rFonts w:ascii="Calibri" w:hAnsi="Calibri" w:cstheme="majorHAnsi"/>
          <w:sz w:val="20"/>
          <w:szCs w:val="20"/>
        </w:rPr>
      </w:pPr>
      <w:r w:rsidRPr="006B0026">
        <w:rPr>
          <w:rFonts w:ascii="Calibri" w:hAnsi="Calibri" w:cstheme="majorHAnsi"/>
          <w:sz w:val="20"/>
          <w:szCs w:val="20"/>
        </w:rPr>
        <w:t>12.1.  A dosimetria das penas, segundo a modalidade de pena cominada considerará, salvo se elemento constitutivo da infração, na seguinte ordem:</w:t>
      </w:r>
    </w:p>
    <w:p w14:paraId="19ED2D71"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12.1.1. Causa de aumento em 10%:</w:t>
      </w:r>
    </w:p>
    <w:p w14:paraId="3AF4FADA" w14:textId="77777777" w:rsidR="00511E10" w:rsidRPr="006B0026" w:rsidRDefault="00511E10" w:rsidP="00511E10">
      <w:pPr>
        <w:pStyle w:val="NormalWeb"/>
        <w:spacing w:before="0" w:beforeAutospacing="0" w:after="0" w:afterAutospacing="0"/>
        <w:ind w:left="2977" w:hanging="853"/>
        <w:jc w:val="both"/>
        <w:rPr>
          <w:rFonts w:ascii="Calibri" w:hAnsi="Calibri" w:cstheme="majorHAnsi"/>
          <w:sz w:val="20"/>
          <w:szCs w:val="20"/>
        </w:rPr>
      </w:pPr>
      <w:r w:rsidRPr="006B0026">
        <w:rPr>
          <w:rFonts w:ascii="Calibri" w:hAnsi="Calibri" w:cstheme="majorHAnsi"/>
          <w:sz w:val="20"/>
          <w:szCs w:val="20"/>
        </w:rPr>
        <w:t>12.1.1.1. Histórico de punições: outras condenações por infrações administrativas, inclusive em diversas entidades e órgãos, em penas iguais ou diversas em razão de mesmas ou diversas condutas e infrações conforme registrado no SICAF nos 36 meses precedentes.</w:t>
      </w:r>
    </w:p>
    <w:p w14:paraId="63485CE0"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12.1.2. Causas de diminuição da pena, cada qual em 10%, dentre outras provadas pelo apenado:</w:t>
      </w:r>
    </w:p>
    <w:p w14:paraId="6A1FFBDA"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12.1.2.1. Imediata comunicação do fato;</w:t>
      </w:r>
    </w:p>
    <w:p w14:paraId="680DCB69"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12.1.2.2. Confissão;</w:t>
      </w:r>
    </w:p>
    <w:p w14:paraId="74416697"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12.1.2.3. Diminuição do dano;</w:t>
      </w:r>
    </w:p>
    <w:p w14:paraId="0C099AD5"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12.1.2.4. Reparação do prejuízo.</w:t>
      </w:r>
    </w:p>
    <w:p w14:paraId="6785871D"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p>
    <w:p w14:paraId="089D440C" w14:textId="77777777" w:rsidR="00511E10" w:rsidRPr="006B0026" w:rsidRDefault="00511E10" w:rsidP="00511E10">
      <w:pPr>
        <w:pStyle w:val="NormalWeb"/>
        <w:spacing w:before="0" w:beforeAutospacing="0" w:after="0" w:afterAutospacing="0"/>
        <w:ind w:left="993" w:hanging="567"/>
        <w:jc w:val="both"/>
        <w:rPr>
          <w:rFonts w:ascii="Calibri" w:hAnsi="Calibri" w:cstheme="majorHAnsi"/>
          <w:sz w:val="20"/>
          <w:szCs w:val="20"/>
        </w:rPr>
      </w:pPr>
      <w:r w:rsidRPr="006B0026">
        <w:rPr>
          <w:rFonts w:ascii="Calibri" w:hAnsi="Calibri" w:cstheme="majorHAnsi"/>
          <w:sz w:val="20"/>
          <w:szCs w:val="20"/>
        </w:rPr>
        <w:t>12.2. Reincidência específica. O mesmo comportamento cometido perante a ANEEL nos precedentes 36 meses devidamente apurado e sancionado, independentemente da pena cominada importará:</w:t>
      </w:r>
    </w:p>
    <w:p w14:paraId="1448320A"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30B46D85"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12.2.1. Aumento da cominada penalidade em 50% (cinquenta por cento), até o limite temporal de 60 (sessenta) meses; e</w:t>
      </w:r>
    </w:p>
    <w:p w14:paraId="14DA5086"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12.2.2. Caso não haja sanção restritiva do direito de licitar, também importará a penalidade de suspensão temporária de participação em licitação e impedimento de contratar com a ANEEL por 24 meses.</w:t>
      </w:r>
    </w:p>
    <w:p w14:paraId="164FE9EB"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12.3. Concurso de infrações.</w:t>
      </w:r>
    </w:p>
    <w:p w14:paraId="12CD898E"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p>
    <w:p w14:paraId="7222D45D"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 xml:space="preserve">12.3.1. Concurso formal. Múltiplas infrações resultantes de uma mesma conduta, quer omissiva, quer comissiva. Cominando-se penas da mesma espécie, </w:t>
      </w:r>
      <w:proofErr w:type="gramStart"/>
      <w:r w:rsidRPr="006B0026">
        <w:rPr>
          <w:rFonts w:ascii="Calibri" w:hAnsi="Calibri" w:cstheme="majorHAnsi"/>
          <w:sz w:val="20"/>
          <w:szCs w:val="20"/>
        </w:rPr>
        <w:t>as mesmas</w:t>
      </w:r>
      <w:proofErr w:type="gramEnd"/>
      <w:r w:rsidRPr="006B0026">
        <w:rPr>
          <w:rFonts w:ascii="Calibri" w:hAnsi="Calibri" w:cstheme="majorHAnsi"/>
          <w:sz w:val="20"/>
          <w:szCs w:val="20"/>
        </w:rPr>
        <w:t xml:space="preserve"> são somadas e após se reduz da pena unificada percentual de 30% para cada infração.</w:t>
      </w:r>
    </w:p>
    <w:p w14:paraId="3D39F470"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p>
    <w:p w14:paraId="736341E1"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r w:rsidRPr="006B0026">
        <w:rPr>
          <w:rFonts w:ascii="Calibri" w:hAnsi="Calibri" w:cstheme="majorHAnsi"/>
          <w:sz w:val="20"/>
          <w:szCs w:val="20"/>
        </w:rPr>
        <w:t>12.3.2. Concurso material. Múltiplas infrações decorrentes de inúmeras condutas são punidas com a soma das penas de mesma espécie.</w:t>
      </w:r>
    </w:p>
    <w:p w14:paraId="41E342BC"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p>
    <w:p w14:paraId="4683F2A6"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 xml:space="preserve">12.4. </w:t>
      </w:r>
      <w:r w:rsidRPr="006B0026">
        <w:rPr>
          <w:rFonts w:ascii="Calibri" w:hAnsi="Calibri" w:cstheme="majorHAnsi"/>
          <w:sz w:val="20"/>
          <w:szCs w:val="20"/>
        </w:rPr>
        <w:tab/>
        <w:t>As penalidades terão necessária publicidade e registro, sobretudo no SICAF; são independentes, podendo ser aplicadas isoladas ou cumulativamente, sem prejuízo de outras medidas cabíveis, no tocante à responsabilidade civil, penal e administrativa, tais quais:</w:t>
      </w:r>
    </w:p>
    <w:p w14:paraId="4F00A7AA"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12.4.1. Provocar a iniciativa do Ministério Público;</w:t>
      </w:r>
    </w:p>
    <w:p w14:paraId="672D0B08"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12.4.2. Oficiar ao Tribunal de Contas da União, em face do artigo 46 da Lei nº 8.443/92;</w:t>
      </w:r>
    </w:p>
    <w:p w14:paraId="460D2FC9"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12.4.3. Instaurar processos administrativos, em face da Lei nº 12.846/13.</w:t>
      </w:r>
    </w:p>
    <w:p w14:paraId="02EF11DB"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288CBE40" w14:textId="77777777" w:rsidR="00511E10" w:rsidRPr="006B0026" w:rsidRDefault="00511E10" w:rsidP="00511E10">
      <w:pPr>
        <w:pStyle w:val="NormalWeb"/>
        <w:spacing w:before="0" w:beforeAutospacing="0" w:after="0" w:afterAutospacing="0"/>
        <w:ind w:left="1416" w:hanging="708"/>
        <w:jc w:val="both"/>
        <w:rPr>
          <w:rFonts w:ascii="Calibri" w:hAnsi="Calibri" w:cstheme="majorHAnsi"/>
          <w:sz w:val="20"/>
          <w:szCs w:val="20"/>
        </w:rPr>
      </w:pPr>
      <w:r w:rsidRPr="006B0026">
        <w:rPr>
          <w:rFonts w:ascii="Calibri" w:hAnsi="Calibri" w:cstheme="majorHAnsi"/>
          <w:sz w:val="20"/>
          <w:szCs w:val="20"/>
        </w:rPr>
        <w:t xml:space="preserve">12.5. </w:t>
      </w:r>
      <w:r w:rsidRPr="006B0026">
        <w:rPr>
          <w:rFonts w:ascii="Calibri" w:hAnsi="Calibri" w:cstheme="majorHAnsi"/>
          <w:sz w:val="20"/>
          <w:szCs w:val="20"/>
        </w:rPr>
        <w:tab/>
        <w:t>A aplicação de qualquer penalidade realizar-se-á em processo administrativo que assegurará o contraditório e a ampla defesa ao licitante/adjudicatário, observando-se o procedimento previsto na Lei nº 14.133, de 2021, e subsidiariamente na Lei nº 9.784, de 1999.</w:t>
      </w:r>
    </w:p>
    <w:p w14:paraId="3A6B5FDD" w14:textId="77777777" w:rsidR="00511E10" w:rsidRPr="006B0026" w:rsidRDefault="00511E10" w:rsidP="00511E10">
      <w:pPr>
        <w:pStyle w:val="NormalWeb"/>
        <w:spacing w:before="0" w:beforeAutospacing="0" w:after="0" w:afterAutospacing="0"/>
        <w:ind w:left="1416" w:hanging="708"/>
        <w:jc w:val="both"/>
        <w:rPr>
          <w:rFonts w:ascii="Calibri" w:hAnsi="Calibri" w:cstheme="majorHAnsi"/>
          <w:sz w:val="20"/>
          <w:szCs w:val="20"/>
        </w:rPr>
      </w:pPr>
    </w:p>
    <w:p w14:paraId="44497E1F"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 xml:space="preserve">13. </w:t>
      </w:r>
      <w:r w:rsidRPr="006B0026">
        <w:rPr>
          <w:rFonts w:ascii="Calibri" w:hAnsi="Calibri" w:cstheme="majorHAnsi"/>
          <w:sz w:val="20"/>
          <w:szCs w:val="20"/>
        </w:rPr>
        <w:tab/>
        <w:t>A autoridade competente, na aplicação das sanções, julgará as justificativas arguidas, levando em consideração o princípio da proporcionalidade, a gravidade da conduta do infrator, o caráter educativo da pena e o dano causado à Administração, embora não se confundam a responsabilidade civil com a administrativa, observado o princípio da proporcionalidade, a natureza e a gravidade da infração cometida, as peculiaridades do caso concreto, as circunstâncias agravantes ou atenuantes, os danos que dela provierem para a Administração Pública, a implantação ou o aperfeiçoamento de programa de integridade, conforme normas e orientações dos órgãos de controle.</w:t>
      </w:r>
    </w:p>
    <w:p w14:paraId="5278471F"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6B4D649F"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14.     Sem prejuízo do andamento do processo de apuração da infração, o instrumento contratual – consideradas a urgência da necessidade pública e a gravidade da conduta apurada - poderá ter sua vigência iniciada; finda a apuração e confirmada a hipótese de condenação administrativa, o ajuste, se vigente, estará sujeito à rescisão unilateral/cancelamento.</w:t>
      </w:r>
    </w:p>
    <w:p w14:paraId="131A2B57"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6DFD5A95"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 xml:space="preserve">14.1. </w:t>
      </w:r>
      <w:r w:rsidRPr="006B0026">
        <w:rPr>
          <w:rFonts w:ascii="Calibri" w:hAnsi="Calibri" w:cstheme="majorHAnsi"/>
          <w:sz w:val="20"/>
          <w:szCs w:val="20"/>
        </w:rPr>
        <w:tab/>
        <w:t>Os valores das multas consistem em créditos a serem recolhidos no prazo e forma legal, resguardados atos de cobrança e execução, administrativa e judicial, na forma sequencial e prioritária de compensação, retenção e dedução dos pagamentos devidos pela Administração; pagamento mediante Guia de Recolhimento da União – GRU; desconto do valor da garantia prestada.</w:t>
      </w:r>
    </w:p>
    <w:p w14:paraId="2B88E5E4"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p>
    <w:p w14:paraId="3DE814B3"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14.1.1. É possível, ad cautelam, a retenção do valor da multa presumida antes da instauração do regular procedimento administrativo.</w:t>
      </w:r>
    </w:p>
    <w:p w14:paraId="0B6EEBB3"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p>
    <w:p w14:paraId="3954EF3F"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 xml:space="preserve">14.2. </w:t>
      </w:r>
      <w:r w:rsidRPr="006B0026">
        <w:rPr>
          <w:rFonts w:ascii="Calibri" w:hAnsi="Calibri" w:cstheme="majorHAnsi"/>
          <w:sz w:val="20"/>
          <w:szCs w:val="20"/>
        </w:rPr>
        <w:tab/>
        <w:t>As comunicações e documentos afetos aos processos de apuração de responsabilidade administrativa podem ser remetidos via eletrônica ao e-mail da parte apurada constante de cadastros oficiais, tanto da pessoa jurídica apurada, quanto dos seus sócios, dirigentes e administradores, notadamente o SICAF, assegurado e certificado o envio e o recebimento da notificação eletrônica, como definida na Resolução ANEEL nº 804/2018 e normativas que se seguirem.</w:t>
      </w:r>
    </w:p>
    <w:p w14:paraId="0A6B06BA"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p>
    <w:p w14:paraId="46EDC1F2"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14.3. </w:t>
      </w:r>
      <w:r w:rsidRPr="006B0026">
        <w:rPr>
          <w:rFonts w:ascii="Calibri" w:hAnsi="Calibri" w:cstheme="majorHAnsi"/>
          <w:sz w:val="20"/>
          <w:szCs w:val="20"/>
        </w:rPr>
        <w:tab/>
        <w:t>Nos Pregões eletrônicos, considerando o dever de o licitante acompanhar o certame até o encerramento final de sua sessão, é válido e deve ocorrer de forma preferencial o ato do Pregoeiro que identifica as condutas de licitantes como possíveis infrações administrativas.</w:t>
      </w:r>
    </w:p>
    <w:p w14:paraId="2A36397B"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r w:rsidRPr="006B0026">
        <w:rPr>
          <w:rFonts w:ascii="Calibri" w:hAnsi="Calibri" w:cstheme="majorHAnsi"/>
          <w:sz w:val="20"/>
          <w:szCs w:val="20"/>
        </w:rPr>
        <w:t>14.3.1. O ato de identificação será aposto na plataforma onde transcorre a licitação, valendo-se como regular comunicação do apurado, preferencialmente após a aceitação da(s) proposta(s) vencedora(s)</w:t>
      </w:r>
    </w:p>
    <w:p w14:paraId="7D47F1FB"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p>
    <w:p w14:paraId="4C1B2344"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r w:rsidRPr="006B0026">
        <w:rPr>
          <w:rFonts w:ascii="Calibri" w:hAnsi="Calibri" w:cstheme="majorHAnsi"/>
          <w:sz w:val="20"/>
          <w:szCs w:val="20"/>
        </w:rPr>
        <w:t>14.3.2. Após a mencionada identificação, inicia-se, no primeiro dia útil subsequente, o prazo de cinco dias úteis para que o interessado, desejando, apresente manifestação preliminar.</w:t>
      </w:r>
    </w:p>
    <w:p w14:paraId="4824D5EC"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p>
    <w:p w14:paraId="482F9FFE"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r w:rsidRPr="006B0026">
        <w:rPr>
          <w:rFonts w:ascii="Calibri" w:hAnsi="Calibri" w:cstheme="majorHAnsi"/>
          <w:sz w:val="20"/>
          <w:szCs w:val="20"/>
        </w:rPr>
        <w:t xml:space="preserve">14.3.2.1. O protocolo da peça e demais afetas ao processo de apuração de responsabilidade administrativa deve ser em via original na ANEEL em meio físico ou, havendo assinatura digital (token), pelo Protocolo Digital (instruções em </w:t>
      </w:r>
      <w:hyperlink r:id="rId12" w:history="1">
        <w:r w:rsidRPr="006B0026">
          <w:rPr>
            <w:rStyle w:val="Hyperlink"/>
            <w:rFonts w:ascii="Calibri" w:hAnsi="Calibri" w:cstheme="majorHAnsi"/>
            <w:color w:val="auto"/>
            <w:sz w:val="20"/>
            <w:szCs w:val="20"/>
          </w:rPr>
          <w:t>http://www.aneel.gov.br/protocolo-digital</w:t>
        </w:r>
      </w:hyperlink>
      <w:r w:rsidRPr="006B0026">
        <w:rPr>
          <w:rFonts w:ascii="Calibri" w:hAnsi="Calibri" w:cstheme="majorHAnsi"/>
          <w:sz w:val="20"/>
          <w:szCs w:val="20"/>
        </w:rPr>
        <w:t>).</w:t>
      </w:r>
    </w:p>
    <w:p w14:paraId="6619A445"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p>
    <w:p w14:paraId="00BFD279" w14:textId="77777777" w:rsidR="00511E10" w:rsidRPr="006B0026" w:rsidRDefault="00511E10" w:rsidP="00511E10">
      <w:pPr>
        <w:pStyle w:val="NormalWeb"/>
        <w:spacing w:before="0" w:beforeAutospacing="0" w:after="0" w:afterAutospacing="0"/>
        <w:ind w:left="2269" w:firstLine="708"/>
        <w:jc w:val="both"/>
        <w:rPr>
          <w:rFonts w:ascii="Calibri" w:hAnsi="Calibri" w:cstheme="majorHAnsi"/>
          <w:sz w:val="20"/>
          <w:szCs w:val="20"/>
        </w:rPr>
      </w:pPr>
      <w:r w:rsidRPr="006B0026">
        <w:rPr>
          <w:rFonts w:ascii="Calibri" w:hAnsi="Calibri" w:cstheme="majorHAnsi"/>
          <w:sz w:val="20"/>
          <w:szCs w:val="20"/>
        </w:rPr>
        <w:t>14.3.2.1.1. É possível apresentação condicional de cópia.</w:t>
      </w:r>
    </w:p>
    <w:p w14:paraId="59FA128B" w14:textId="77777777" w:rsidR="00511E10" w:rsidRPr="006B0026" w:rsidRDefault="00511E10" w:rsidP="00511E10">
      <w:pPr>
        <w:pStyle w:val="NormalWeb"/>
        <w:spacing w:before="0" w:beforeAutospacing="0" w:after="0" w:afterAutospacing="0"/>
        <w:ind w:left="4820" w:hanging="1280"/>
        <w:jc w:val="both"/>
        <w:rPr>
          <w:rFonts w:ascii="Calibri" w:hAnsi="Calibri" w:cstheme="majorHAnsi"/>
          <w:sz w:val="20"/>
          <w:szCs w:val="20"/>
        </w:rPr>
      </w:pPr>
      <w:r w:rsidRPr="006B0026">
        <w:rPr>
          <w:rFonts w:ascii="Calibri" w:hAnsi="Calibri" w:cstheme="majorHAnsi"/>
          <w:sz w:val="20"/>
          <w:szCs w:val="20"/>
        </w:rPr>
        <w:t>14.3.2.1.1.1. A remessa de cópia pode ocorrer no prazo legal, por fax (61.2192-8882), protocolo digital sem assinatura digital ou remetida ao e-mail, correio eletrônico apuraresp@aneel.gov.br.</w:t>
      </w:r>
    </w:p>
    <w:p w14:paraId="69A64D3D" w14:textId="77777777" w:rsidR="00511E10" w:rsidRPr="006B0026" w:rsidRDefault="00511E10" w:rsidP="00511E10">
      <w:pPr>
        <w:pStyle w:val="NormalWeb"/>
        <w:spacing w:before="0" w:beforeAutospacing="0" w:after="0" w:afterAutospacing="0"/>
        <w:ind w:left="4820" w:hanging="1280"/>
        <w:jc w:val="both"/>
        <w:rPr>
          <w:rFonts w:ascii="Calibri" w:hAnsi="Calibri" w:cstheme="majorHAnsi"/>
          <w:sz w:val="20"/>
          <w:szCs w:val="20"/>
        </w:rPr>
      </w:pPr>
      <w:r w:rsidRPr="006B0026">
        <w:rPr>
          <w:rFonts w:ascii="Calibri" w:hAnsi="Calibri" w:cstheme="majorHAnsi"/>
          <w:sz w:val="20"/>
          <w:szCs w:val="20"/>
        </w:rPr>
        <w:t>14.3.2.1.1.2. Todas as hipóteses de apresentação de cópia exigem, necessariamente, o protocolo das vias originais em até 5 dias do fim do prazo.</w:t>
      </w:r>
    </w:p>
    <w:p w14:paraId="2BEE144C" w14:textId="77777777" w:rsidR="00511E10" w:rsidRPr="006B0026" w:rsidRDefault="00511E10" w:rsidP="00511E10">
      <w:pPr>
        <w:pStyle w:val="NormalWeb"/>
        <w:spacing w:before="0" w:beforeAutospacing="0" w:after="0" w:afterAutospacing="0"/>
        <w:ind w:left="6521" w:hanging="1701"/>
        <w:jc w:val="both"/>
        <w:rPr>
          <w:rFonts w:ascii="Calibri" w:hAnsi="Calibri" w:cstheme="majorHAnsi"/>
          <w:sz w:val="20"/>
          <w:szCs w:val="20"/>
        </w:rPr>
      </w:pPr>
      <w:r w:rsidRPr="006B0026">
        <w:rPr>
          <w:rFonts w:ascii="Calibri" w:hAnsi="Calibri" w:cstheme="majorHAnsi"/>
          <w:sz w:val="20"/>
          <w:szCs w:val="20"/>
        </w:rPr>
        <w:t xml:space="preserve">14.3.2.1.1.2.1.  </w:t>
      </w:r>
      <w:r w:rsidRPr="006B0026">
        <w:rPr>
          <w:rFonts w:ascii="Calibri" w:hAnsi="Calibri" w:cstheme="majorHAnsi"/>
          <w:sz w:val="20"/>
          <w:szCs w:val="20"/>
        </w:rPr>
        <w:tab/>
        <w:t>O prazo inicial para apresentação da via original se origina no dia imediatamente</w:t>
      </w:r>
    </w:p>
    <w:p w14:paraId="678D7A1A" w14:textId="77777777" w:rsidR="00511E10" w:rsidRPr="006B0026" w:rsidRDefault="00511E10" w:rsidP="00511E10">
      <w:pPr>
        <w:pStyle w:val="NormalWeb"/>
        <w:spacing w:before="0" w:beforeAutospacing="0" w:after="0" w:afterAutospacing="0"/>
        <w:ind w:left="6521"/>
        <w:jc w:val="both"/>
        <w:rPr>
          <w:rFonts w:ascii="Calibri" w:hAnsi="Calibri" w:cstheme="majorHAnsi"/>
          <w:sz w:val="20"/>
          <w:szCs w:val="20"/>
        </w:rPr>
      </w:pPr>
      <w:r w:rsidRPr="006B0026">
        <w:rPr>
          <w:rFonts w:ascii="Calibri" w:hAnsi="Calibri" w:cstheme="majorHAnsi"/>
          <w:sz w:val="20"/>
          <w:szCs w:val="20"/>
        </w:rPr>
        <w:t>subsequente, útil ou não, ao fim do prazo para validamente ocorrer o ato de apresentação.</w:t>
      </w:r>
    </w:p>
    <w:p w14:paraId="39923720" w14:textId="77777777" w:rsidR="00511E10" w:rsidRPr="006B0026" w:rsidRDefault="00511E10" w:rsidP="00511E10">
      <w:pPr>
        <w:pStyle w:val="NormalWeb"/>
        <w:spacing w:before="0" w:beforeAutospacing="0" w:after="0" w:afterAutospacing="0"/>
        <w:ind w:left="6521"/>
        <w:jc w:val="both"/>
        <w:rPr>
          <w:rFonts w:ascii="Calibri" w:hAnsi="Calibri" w:cstheme="majorHAnsi"/>
          <w:sz w:val="20"/>
          <w:szCs w:val="20"/>
        </w:rPr>
      </w:pPr>
    </w:p>
    <w:p w14:paraId="39598DE2"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r w:rsidRPr="006B0026">
        <w:rPr>
          <w:rFonts w:ascii="Calibri" w:hAnsi="Calibri" w:cstheme="majorHAnsi"/>
          <w:sz w:val="20"/>
          <w:szCs w:val="20"/>
        </w:rPr>
        <w:t>14.3.3. Após o transcurso do aludido prazo, com ou sem a resposta do licitante apurado, a autoridade superior deliberará a abertura de processo administrativo para apurar e eventualmente penalizar conduta ilícita administrativa do licitante no transcurso licitatório.</w:t>
      </w:r>
    </w:p>
    <w:p w14:paraId="3BA4E6FA"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p>
    <w:p w14:paraId="403DD06C"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r w:rsidRPr="006B0026">
        <w:rPr>
          <w:rFonts w:ascii="Calibri" w:hAnsi="Calibri" w:cstheme="majorHAnsi"/>
          <w:sz w:val="20"/>
          <w:szCs w:val="20"/>
        </w:rPr>
        <w:t>14.3.3.1. Havendo manifestação prévia, os seus fundamentos serão levados em conta para  identificar manifesta falta de pressuposto processual.</w:t>
      </w:r>
    </w:p>
    <w:p w14:paraId="1E71A3A4"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p>
    <w:p w14:paraId="089F8D58" w14:textId="77777777" w:rsidR="00511E10" w:rsidRPr="006B0026" w:rsidRDefault="00511E10" w:rsidP="00511E10">
      <w:pPr>
        <w:pStyle w:val="NormalWeb"/>
        <w:spacing w:before="0" w:beforeAutospacing="0" w:after="0" w:afterAutospacing="0"/>
        <w:ind w:left="2977" w:hanging="853"/>
        <w:jc w:val="both"/>
        <w:rPr>
          <w:rFonts w:ascii="Calibri" w:hAnsi="Calibri" w:cstheme="majorHAnsi"/>
          <w:sz w:val="20"/>
          <w:szCs w:val="20"/>
        </w:rPr>
      </w:pPr>
      <w:r w:rsidRPr="006B0026">
        <w:rPr>
          <w:rFonts w:ascii="Calibri" w:hAnsi="Calibri" w:cstheme="majorHAnsi"/>
          <w:sz w:val="20"/>
          <w:szCs w:val="20"/>
        </w:rPr>
        <w:t>14.3.3.2. Na eventualidade de o licitante ter aposto no sistema onde transcorre o Pregão Eletrônico a intenção de recurso face a sua exclusão ou para atacar a recusa da proposta que ofertou, as apresentadas razões de recurso serão consideradas para a abertura de processo administrativo para apurar e eventualmente penalizar conduta ilícita administrativa do licitante no transcurso licitatório.</w:t>
      </w:r>
    </w:p>
    <w:p w14:paraId="6BFE165F" w14:textId="77777777" w:rsidR="00511E10" w:rsidRPr="006B0026" w:rsidRDefault="00511E10" w:rsidP="00511E10">
      <w:pPr>
        <w:pStyle w:val="NormalWeb"/>
        <w:spacing w:before="0" w:beforeAutospacing="0" w:after="0" w:afterAutospacing="0"/>
        <w:ind w:left="2977" w:hanging="853"/>
        <w:jc w:val="both"/>
        <w:rPr>
          <w:rFonts w:ascii="Calibri" w:hAnsi="Calibri" w:cstheme="majorHAnsi"/>
          <w:sz w:val="20"/>
          <w:szCs w:val="20"/>
        </w:rPr>
      </w:pPr>
    </w:p>
    <w:p w14:paraId="0DAD3D91" w14:textId="77777777" w:rsidR="00511E10" w:rsidRPr="006B0026" w:rsidRDefault="00511E10" w:rsidP="00511E10">
      <w:pPr>
        <w:pStyle w:val="NormalWeb"/>
        <w:spacing w:before="0" w:beforeAutospacing="0" w:after="0" w:afterAutospacing="0"/>
        <w:ind w:left="2269" w:firstLine="708"/>
        <w:jc w:val="both"/>
        <w:rPr>
          <w:rFonts w:ascii="Calibri" w:hAnsi="Calibri" w:cstheme="majorHAnsi"/>
          <w:sz w:val="20"/>
          <w:szCs w:val="20"/>
        </w:rPr>
      </w:pPr>
      <w:r w:rsidRPr="006B0026">
        <w:rPr>
          <w:rFonts w:ascii="Calibri" w:hAnsi="Calibri" w:cstheme="majorHAnsi"/>
          <w:sz w:val="20"/>
          <w:szCs w:val="20"/>
        </w:rPr>
        <w:t>14.3.3.2.1. Destaca-se que não se confundem os expedientes:</w:t>
      </w:r>
    </w:p>
    <w:p w14:paraId="4A1F8B50" w14:textId="77777777" w:rsidR="00511E10" w:rsidRPr="006B0026" w:rsidRDefault="00511E10" w:rsidP="00511E10">
      <w:pPr>
        <w:pStyle w:val="NormalWeb"/>
        <w:spacing w:before="0" w:beforeAutospacing="0" w:after="0" w:afterAutospacing="0"/>
        <w:ind w:left="2269" w:firstLine="708"/>
        <w:jc w:val="both"/>
        <w:rPr>
          <w:rFonts w:ascii="Calibri" w:hAnsi="Calibri" w:cstheme="majorHAnsi"/>
          <w:sz w:val="20"/>
          <w:szCs w:val="20"/>
        </w:rPr>
      </w:pPr>
    </w:p>
    <w:p w14:paraId="37305946" w14:textId="77777777" w:rsidR="00511E10" w:rsidRPr="006B0026" w:rsidRDefault="00511E10" w:rsidP="00511E10">
      <w:pPr>
        <w:pStyle w:val="NormalWeb"/>
        <w:spacing w:before="0" w:beforeAutospacing="0" w:after="0" w:afterAutospacing="0"/>
        <w:ind w:left="4962" w:hanging="1276"/>
        <w:jc w:val="both"/>
        <w:rPr>
          <w:rFonts w:ascii="Calibri" w:hAnsi="Calibri" w:cstheme="majorHAnsi"/>
          <w:sz w:val="20"/>
          <w:szCs w:val="20"/>
        </w:rPr>
      </w:pPr>
      <w:r w:rsidRPr="006B0026">
        <w:rPr>
          <w:rFonts w:ascii="Calibri" w:hAnsi="Calibri" w:cstheme="majorHAnsi"/>
          <w:sz w:val="20"/>
          <w:szCs w:val="20"/>
        </w:rPr>
        <w:t>14.3.3.2.1.1. Relacionados com a recusa da proposta e a desclassificação do licitante, a exemplo da intenção de recurso registrada no sistema do Pregão Eletrônico e a apresentação das razões recursais; o juízo de reconsideração pelo Pregoeiro e a análise do recurso pela autoridade;</w:t>
      </w:r>
    </w:p>
    <w:p w14:paraId="54DDAAC5" w14:textId="77777777" w:rsidR="00511E10" w:rsidRPr="006B0026" w:rsidRDefault="00511E10" w:rsidP="00511E10">
      <w:pPr>
        <w:pStyle w:val="NormalWeb"/>
        <w:spacing w:before="0" w:beforeAutospacing="0" w:after="0" w:afterAutospacing="0"/>
        <w:ind w:left="4962" w:hanging="1276"/>
        <w:jc w:val="both"/>
        <w:rPr>
          <w:rFonts w:ascii="Calibri" w:hAnsi="Calibri" w:cstheme="majorHAnsi"/>
          <w:sz w:val="20"/>
          <w:szCs w:val="20"/>
        </w:rPr>
      </w:pPr>
      <w:r w:rsidRPr="006B0026">
        <w:rPr>
          <w:rFonts w:ascii="Calibri" w:hAnsi="Calibri" w:cstheme="majorHAnsi"/>
          <w:sz w:val="20"/>
          <w:szCs w:val="20"/>
        </w:rPr>
        <w:t>14.3.3.2.1.2.  Relacionados com eventual infração administrativa do licitante no transcurso do Pregão Eletrônico, a exemplo do ato do Pregoeiro que a identifica; defesa prévia pelo licitante; abertura de processo administrativo para apurar e eventualmente penalizar eventual conduta ilícita administrativa do licitante no transcurso licitatório pela autoridade.</w:t>
      </w:r>
    </w:p>
    <w:p w14:paraId="56ED2753" w14:textId="77777777" w:rsidR="00511E10" w:rsidRPr="006B0026" w:rsidRDefault="00511E10" w:rsidP="00511E10">
      <w:pPr>
        <w:pStyle w:val="NormalWeb"/>
        <w:spacing w:before="0" w:beforeAutospacing="0" w:after="0" w:afterAutospacing="0"/>
        <w:ind w:left="4962" w:hanging="1276"/>
        <w:jc w:val="both"/>
        <w:rPr>
          <w:rFonts w:ascii="Calibri" w:hAnsi="Calibri" w:cstheme="majorHAnsi"/>
          <w:sz w:val="20"/>
          <w:szCs w:val="20"/>
        </w:rPr>
      </w:pPr>
    </w:p>
    <w:p w14:paraId="630A7A3C"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14.3.4. A abertura de processo administrativo para apurar e eventualmente penalizar conduta ilícita administrativa do licitante no transcurso licitatório não ocorrerá nas hipóteses devidamente justificadas de:</w:t>
      </w:r>
    </w:p>
    <w:p w14:paraId="24003CE5"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14.3.4.1. Flagrante regularidade da conduta identificada;</w:t>
      </w:r>
    </w:p>
    <w:p w14:paraId="382CE2A7"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14.3.4.2. Patente causa que exclua a responsabilidade em tese apurada.</w:t>
      </w:r>
    </w:p>
    <w:p w14:paraId="2CFFE2C2"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p>
    <w:p w14:paraId="6FAAE7E4"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r w:rsidRPr="006B0026">
        <w:rPr>
          <w:rFonts w:ascii="Calibri" w:hAnsi="Calibri" w:cstheme="majorHAnsi"/>
          <w:sz w:val="20"/>
          <w:szCs w:val="20"/>
        </w:rPr>
        <w:t>14.3.5. Estando o feito em ordem, a autoridade proferirá decisão da qual cabe recurso administrativo à autoridade superior.</w:t>
      </w:r>
    </w:p>
    <w:p w14:paraId="0A8F179C"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p>
    <w:p w14:paraId="2E895FDD"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15.    Serão envidados esforços, dentre outros aspectos procedimentais e sancionatórios, em conformidade aos preceitos da Lei 14.133/31 e à sua principiologia, considerando, ademais, a impossibilidade de predeterminação da eventual sanção e da caracterização do ilícito, no processo de apuração de responsabilidade administrativa, inclusive prazos, embora impróprios e não peremptórios para a Administração, as seguintes orientações/boas práticas:</w:t>
      </w:r>
    </w:p>
    <w:p w14:paraId="672F70DB"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22097E04"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    Considerando as diretivas do TCU, na dúvida acerca de possível infração, deve-se instaurar processo de apuração de responsabilidade administrativa; da mesma sorte em que aparente não haver infração ou não seja o caso de incidir pena, hipóteses que igualmente ensejam a instauração, processamento e julgamento em processo administrativo sancionatório; responsabilidade do sancionador, derivado do poder-dever punitivo, disciplinar, afeto à cláusula exorbitante, indisponibilidade e supremacia do interesse público;</w:t>
      </w:r>
    </w:p>
    <w:p w14:paraId="61342DFA"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15.2. </w:t>
      </w:r>
      <w:r w:rsidRPr="006B0026">
        <w:rPr>
          <w:rFonts w:ascii="Calibri" w:hAnsi="Calibri" w:cstheme="majorHAnsi"/>
          <w:sz w:val="20"/>
          <w:szCs w:val="20"/>
        </w:rPr>
        <w:tab/>
        <w:t>Defesa prévia no prazo de quinze dias úteis;</w:t>
      </w:r>
    </w:p>
    <w:p w14:paraId="29D4B773"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15.3. </w:t>
      </w:r>
      <w:r w:rsidRPr="006B0026">
        <w:rPr>
          <w:rFonts w:ascii="Calibri" w:hAnsi="Calibri" w:cstheme="majorHAnsi"/>
          <w:sz w:val="20"/>
          <w:szCs w:val="20"/>
        </w:rPr>
        <w:tab/>
        <w:t>Cumulação da pena de multa às demais, na forma do art. 156 da Lei 14.133/21, especialmente, além da multa, as sanções impeditivas;</w:t>
      </w:r>
    </w:p>
    <w:p w14:paraId="608E7245"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15.4. </w:t>
      </w:r>
      <w:r w:rsidRPr="006B0026">
        <w:rPr>
          <w:rFonts w:ascii="Calibri" w:hAnsi="Calibri" w:cstheme="majorHAnsi"/>
          <w:sz w:val="20"/>
          <w:szCs w:val="20"/>
        </w:rPr>
        <w:tab/>
        <w:t>Pena mínima do impedimento de licitar e de contratar de seis meses;</w:t>
      </w:r>
    </w:p>
    <w:p w14:paraId="53C2A372"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15.5. </w:t>
      </w:r>
      <w:r w:rsidRPr="006B0026">
        <w:rPr>
          <w:rFonts w:ascii="Calibri" w:hAnsi="Calibri" w:cstheme="majorHAnsi"/>
          <w:sz w:val="20"/>
          <w:szCs w:val="20"/>
        </w:rPr>
        <w:tab/>
        <w:t>Na aplicação de penalidades, observância dos critérios do §1º do art. 156 da Lei 14.133/21 e das finalidades preventiva, educativa e repressiva, além de punitiva;</w:t>
      </w:r>
    </w:p>
    <w:p w14:paraId="6D053935"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15.6. </w:t>
      </w:r>
      <w:r w:rsidRPr="006B0026">
        <w:rPr>
          <w:rFonts w:ascii="Calibri" w:hAnsi="Calibri" w:cstheme="majorHAnsi"/>
          <w:sz w:val="20"/>
          <w:szCs w:val="20"/>
        </w:rPr>
        <w:tab/>
        <w:t>Advertência apenas hábil no curso contratual;</w:t>
      </w:r>
    </w:p>
    <w:p w14:paraId="7C709C90"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15.7.  </w:t>
      </w:r>
      <w:r w:rsidRPr="006B0026">
        <w:rPr>
          <w:rFonts w:ascii="Calibri" w:hAnsi="Calibri" w:cstheme="majorHAnsi"/>
          <w:sz w:val="20"/>
          <w:szCs w:val="20"/>
        </w:rPr>
        <w:tab/>
        <w:t>Condução do processo por comissão formada por no mínimo dois servidores públicos estáveis;</w:t>
      </w:r>
    </w:p>
    <w:p w14:paraId="07333953"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15.8. </w:t>
      </w:r>
      <w:r w:rsidRPr="006B0026">
        <w:rPr>
          <w:rFonts w:ascii="Calibri" w:hAnsi="Calibri" w:cstheme="majorHAnsi"/>
          <w:sz w:val="20"/>
          <w:szCs w:val="20"/>
        </w:rPr>
        <w:tab/>
        <w:t>Apresentação pela comissão processante de relatório conclusivo;</w:t>
      </w:r>
    </w:p>
    <w:p w14:paraId="532AE61D"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15.9. </w:t>
      </w:r>
      <w:r w:rsidRPr="006B0026">
        <w:rPr>
          <w:rFonts w:ascii="Calibri" w:hAnsi="Calibri" w:cstheme="majorHAnsi"/>
          <w:sz w:val="20"/>
          <w:szCs w:val="20"/>
        </w:rPr>
        <w:tab/>
        <w:t>Relatório conclusivo enfrentando as principais razões de fato e de direito deduzidas na defesa, na situação em concreto sob análise, motivando acatamento ou não das razões de defesa e de recurso (hipótese de Nota Técnica em juízo de reconsideração);</w:t>
      </w:r>
    </w:p>
    <w:p w14:paraId="2FCAD2E2"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15.10. </w:t>
      </w:r>
      <w:r w:rsidRPr="006B0026">
        <w:rPr>
          <w:rFonts w:ascii="Calibri" w:hAnsi="Calibri" w:cstheme="majorHAnsi"/>
          <w:sz w:val="20"/>
          <w:szCs w:val="20"/>
        </w:rPr>
        <w:tab/>
        <w:t>Oportunidade de dedução de alegações finais no prazo de quinze dias uteis após relatório conclusivo;</w:t>
      </w:r>
    </w:p>
    <w:p w14:paraId="1308F49B"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15.11. </w:t>
      </w:r>
      <w:r w:rsidRPr="006B0026">
        <w:rPr>
          <w:rFonts w:ascii="Calibri" w:hAnsi="Calibri" w:cstheme="majorHAnsi"/>
          <w:sz w:val="20"/>
          <w:szCs w:val="20"/>
        </w:rPr>
        <w:tab/>
        <w:t>Proceder à consultoria de assessoria jurídica prévia à tomada de Decisão SGA;</w:t>
      </w:r>
    </w:p>
    <w:p w14:paraId="599CA33E"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15.12.  Esforços pela comissão processante para minutar sugestão de Decisão SGA para a autoridade competente consoante a sua convicção, atendendo aos princípios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proporcionalidade, assim como as disposições do Decreto-Lei nº 4.657, de 4 de setembro de 1942 (Lei de Introdução às Normas do Direito Brasileiro);</w:t>
      </w:r>
    </w:p>
    <w:p w14:paraId="692F5F8E"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15.13.  Mesmo em caso de dispensa de licitação ou contratação direta, a necessidade de se comprovar a proposta mais vantajosa;</w:t>
      </w:r>
    </w:p>
    <w:p w14:paraId="5971C937"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15.14. </w:t>
      </w:r>
      <w:r w:rsidRPr="006B0026">
        <w:rPr>
          <w:rFonts w:ascii="Calibri" w:hAnsi="Calibri" w:cstheme="majorHAnsi"/>
          <w:sz w:val="20"/>
          <w:szCs w:val="20"/>
        </w:rPr>
        <w:tab/>
        <w:t>Garantia do contraditório e da ampla defesa em vista da concretização do devido processo legal;</w:t>
      </w:r>
    </w:p>
    <w:p w14:paraId="7D411BC4"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15.15.  Prioridade às fases de instrução e executória diante da pluralidade de feitos a cargo da comissão processante;</w:t>
      </w:r>
    </w:p>
    <w:p w14:paraId="45D337C5"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15.16. </w:t>
      </w:r>
      <w:r w:rsidRPr="006B0026">
        <w:rPr>
          <w:rFonts w:ascii="Calibri" w:hAnsi="Calibri" w:cstheme="majorHAnsi"/>
          <w:sz w:val="20"/>
          <w:szCs w:val="20"/>
        </w:rPr>
        <w:tab/>
        <w:t xml:space="preserve">Ofício à seguradora em caso de garantia securitária- aviso de expectativa de sinistro instruída com cópia da notificação inaugural; </w:t>
      </w:r>
    </w:p>
    <w:p w14:paraId="530F6D49"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15.17.  Uso dos meios céleres de comunicação, primeiramente notificação eletrônica, residualmente notificação à apurada endereçada em cadastros oficiais, notadamente SICAF e em caso de frustração em Imprensa Oficial;</w:t>
      </w:r>
    </w:p>
    <w:p w14:paraId="11E078DE"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15.18. </w:t>
      </w:r>
      <w:r w:rsidRPr="006B0026">
        <w:rPr>
          <w:rFonts w:ascii="Calibri" w:hAnsi="Calibri" w:cstheme="majorHAnsi"/>
          <w:sz w:val="20"/>
          <w:szCs w:val="20"/>
        </w:rPr>
        <w:tab/>
        <w:t>Efeito suspensivo diante da interposição recursal, a se realizar em quinze dias úteis, exceto face a pena de declaração de inidoneidade para licitar ou contratar, atacada por pedido de reconsideração no mesmo prazo;</w:t>
      </w:r>
    </w:p>
    <w:p w14:paraId="6B898CFA" w14:textId="77777777" w:rsidR="00511E10" w:rsidRPr="006B0026" w:rsidRDefault="00511E10" w:rsidP="00511E10">
      <w:pPr>
        <w:pStyle w:val="NormalWeb"/>
        <w:spacing w:before="0" w:beforeAutospacing="0" w:after="0" w:afterAutospacing="0"/>
        <w:ind w:left="426" w:firstLine="283"/>
        <w:jc w:val="both"/>
        <w:rPr>
          <w:rFonts w:ascii="Calibri" w:hAnsi="Calibri" w:cstheme="majorHAnsi"/>
          <w:sz w:val="20"/>
          <w:szCs w:val="20"/>
        </w:rPr>
      </w:pPr>
      <w:r w:rsidRPr="006B0026">
        <w:rPr>
          <w:rFonts w:ascii="Calibri" w:hAnsi="Calibri" w:cstheme="majorHAnsi"/>
          <w:sz w:val="20"/>
          <w:szCs w:val="20"/>
        </w:rPr>
        <w:t xml:space="preserve">15.19.   Inscrição das penas e publicidade </w:t>
      </w:r>
      <w:proofErr w:type="gramStart"/>
      <w:r w:rsidRPr="006B0026">
        <w:rPr>
          <w:rFonts w:ascii="Calibri" w:hAnsi="Calibri" w:cstheme="majorHAnsi"/>
          <w:sz w:val="20"/>
          <w:szCs w:val="20"/>
        </w:rPr>
        <w:t>das mesmas</w:t>
      </w:r>
      <w:proofErr w:type="gramEnd"/>
      <w:r w:rsidRPr="006B0026">
        <w:rPr>
          <w:rFonts w:ascii="Calibri" w:hAnsi="Calibri" w:cstheme="majorHAnsi"/>
          <w:sz w:val="20"/>
          <w:szCs w:val="20"/>
        </w:rPr>
        <w:t xml:space="preserve"> no prazo de quinze dias da sua estabilização.</w:t>
      </w:r>
    </w:p>
    <w:p w14:paraId="16F232BB" w14:textId="77777777" w:rsidR="00511E10" w:rsidRPr="006B0026" w:rsidRDefault="00511E10" w:rsidP="00511E10">
      <w:pPr>
        <w:pStyle w:val="NormalWeb"/>
        <w:spacing w:before="0" w:beforeAutospacing="0" w:after="0" w:afterAutospacing="0"/>
        <w:ind w:left="426" w:firstLine="283"/>
        <w:jc w:val="both"/>
        <w:rPr>
          <w:rFonts w:ascii="Calibri" w:hAnsi="Calibri" w:cstheme="majorHAnsi"/>
          <w:sz w:val="20"/>
          <w:szCs w:val="20"/>
        </w:rPr>
      </w:pPr>
    </w:p>
    <w:p w14:paraId="6490F697" w14:textId="77777777" w:rsidR="00511E10" w:rsidRPr="006B0026" w:rsidRDefault="00511E10" w:rsidP="00A30541">
      <w:pPr>
        <w:pStyle w:val="NormalWeb"/>
        <w:numPr>
          <w:ilvl w:val="0"/>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Nos termos do Título IV da Lei 14.133, de 1º de abril de 2021, o licitante/adjudicatário que cometer infrações administrativas até o momento da formalização do instrumento contratual, sem prejuízo e independentemente de sua desclassificação, bem como o contratado, fica sujeito à abertura de processo administrativo para a apuração de responsabilidade administrativa, nos limites e na conformidade à uniformização de modelos da AGU e no conjunto de diplomas normativos e obrigacionais e atos que sistematicamente regem a licitação e a contratação. As infrações abaixo discriminadas permitem a cominação de diversas penas e a imposição de penalidades maiores que o doravante consignado, condicionadas à adequada fundamentação para o fim de compatibilizar a devida reprimenda às condutas em sua efetiva gravidade, inclusive a majoração percentual e de valor da pena assinalada.</w:t>
      </w:r>
    </w:p>
    <w:p w14:paraId="2850E3B6"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Dentre outros comportamentos e demais consequências, como penais e cíveis, administrativamente, os licitantes também se sujeitam às cominadas penas para as correlatas infrações, que têm sede legal nos termos do artigo 156 da Lei 14.133/21, sem prejuízo das aqui versadas.</w:t>
      </w:r>
    </w:p>
    <w:p w14:paraId="423C8353"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2686E890"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A apuração de responsabilidade por infrações administrativas de licitantes no transcurso licitatório tem por base a capitulação das seguintes ilicitudes em decorrência dos identificados, sancionados até os limites indicados:</w:t>
      </w:r>
    </w:p>
    <w:p w14:paraId="209494E3"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7F208142" w14:textId="77777777" w:rsidR="00511E10" w:rsidRPr="006B0026" w:rsidRDefault="00511E10" w:rsidP="00A30541">
      <w:pPr>
        <w:pStyle w:val="NormalWeb"/>
        <w:numPr>
          <w:ilvl w:val="0"/>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u w:val="single"/>
        </w:rPr>
        <w:t>Não manutenção da proposta ou lance</w:t>
      </w:r>
      <w:r w:rsidRPr="006B0026">
        <w:rPr>
          <w:rFonts w:ascii="Calibri" w:hAnsi="Calibri" w:cstheme="majorHAnsi"/>
          <w:sz w:val="20"/>
          <w:szCs w:val="20"/>
        </w:rPr>
        <w:t>:</w:t>
      </w:r>
    </w:p>
    <w:p w14:paraId="1D0BB50B" w14:textId="77777777" w:rsidR="00511E10" w:rsidRPr="006B0026" w:rsidRDefault="00511E10" w:rsidP="00511E10">
      <w:pPr>
        <w:pStyle w:val="NormalWeb"/>
        <w:spacing w:before="0" w:beforeAutospacing="0" w:after="0" w:afterAutospacing="0"/>
        <w:ind w:left="420"/>
        <w:jc w:val="both"/>
        <w:rPr>
          <w:rFonts w:ascii="Calibri" w:hAnsi="Calibri" w:cstheme="majorHAnsi"/>
          <w:sz w:val="20"/>
          <w:szCs w:val="20"/>
        </w:rPr>
      </w:pPr>
    </w:p>
    <w:p w14:paraId="652D2868"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2.1. Desistência ou pedido de desclassificação:</w:t>
      </w:r>
    </w:p>
    <w:p w14:paraId="10740D94"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2.1.1. Da proposta:</w:t>
      </w:r>
    </w:p>
    <w:p w14:paraId="4F399A8A"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p>
    <w:p w14:paraId="6FEA8DAD"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Pena: multa de 1,5%, no valor mínimo de R$ 1.500,00</w:t>
      </w:r>
    </w:p>
    <w:p w14:paraId="144A151F"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p>
    <w:p w14:paraId="7918EFB2"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2.1.2. Do lance final:</w:t>
      </w:r>
    </w:p>
    <w:p w14:paraId="4CB06AA9"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p>
    <w:p w14:paraId="26F8BDEC"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Pena: multa de 2% do valor do lance, no valor mínimo de R$ 2.000,00</w:t>
      </w:r>
    </w:p>
    <w:p w14:paraId="2F9AC91F"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6022818D"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r w:rsidRPr="006B0026">
        <w:rPr>
          <w:rFonts w:ascii="Calibri" w:hAnsi="Calibri" w:cstheme="majorHAnsi"/>
          <w:sz w:val="20"/>
          <w:szCs w:val="20"/>
        </w:rPr>
        <w:t>2.1.3. O pedido de desclassificação não importará infração administrativa nas cumulativas situações devidamente reconhecidas pelo Pregoeiro, as quais se valem para demais tipificações e apreciações, também válidas para demais caracterizações para identificação de eventual infração administrativa, abertura de processo de apuração de responsabilidade e penalização, desta e demais infrações:</w:t>
      </w:r>
    </w:p>
    <w:p w14:paraId="26D0EF84"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p>
    <w:p w14:paraId="38816702"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r w:rsidRPr="006B0026">
        <w:rPr>
          <w:rFonts w:ascii="Calibri" w:hAnsi="Calibri" w:cstheme="majorHAnsi"/>
          <w:sz w:val="20"/>
          <w:szCs w:val="20"/>
        </w:rPr>
        <w:t>2.1.3.1. Fato superveniente;</w:t>
      </w:r>
    </w:p>
    <w:p w14:paraId="57597936"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p>
    <w:p w14:paraId="1E8C0362"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r w:rsidRPr="006B0026">
        <w:rPr>
          <w:rFonts w:ascii="Calibri" w:hAnsi="Calibri" w:cstheme="majorHAnsi"/>
          <w:sz w:val="20"/>
          <w:szCs w:val="20"/>
        </w:rPr>
        <w:t>2.1.3.2. Boa-fé, a qual se presume na solicitação do licitante antes de sua convocação.</w:t>
      </w:r>
    </w:p>
    <w:p w14:paraId="7C6A7641"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p>
    <w:p w14:paraId="1B478989"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r w:rsidRPr="006B0026">
        <w:rPr>
          <w:rFonts w:ascii="Calibri" w:hAnsi="Calibri" w:cstheme="majorHAnsi"/>
          <w:sz w:val="20"/>
          <w:szCs w:val="20"/>
        </w:rPr>
        <w:t>2.1.3.3. Erro escusável. Consideram-se válidas as escusas, dentre outras:</w:t>
      </w:r>
    </w:p>
    <w:p w14:paraId="2274123B" w14:textId="77777777" w:rsidR="00511E10" w:rsidRPr="006B0026" w:rsidRDefault="00511E10" w:rsidP="00511E10">
      <w:pPr>
        <w:pStyle w:val="NormalWeb"/>
        <w:spacing w:before="0" w:beforeAutospacing="0" w:after="0" w:afterAutospacing="0"/>
        <w:ind w:left="1985"/>
        <w:jc w:val="both"/>
        <w:rPr>
          <w:rFonts w:ascii="Calibri" w:hAnsi="Calibri" w:cstheme="majorHAnsi"/>
          <w:sz w:val="20"/>
          <w:szCs w:val="20"/>
        </w:rPr>
      </w:pPr>
    </w:p>
    <w:p w14:paraId="59EC2385"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r w:rsidRPr="006B0026">
        <w:rPr>
          <w:rFonts w:ascii="Calibri" w:hAnsi="Calibri" w:cstheme="majorHAnsi"/>
          <w:sz w:val="20"/>
          <w:szCs w:val="20"/>
        </w:rPr>
        <w:t>2.1.3.3.1. Erro na proposta sem oferta de lance na fase competitiva, considerando-se as especificações do produto ou serviço em cotejo com a demanda fixada no Edital.</w:t>
      </w:r>
    </w:p>
    <w:p w14:paraId="531B8719"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p>
    <w:p w14:paraId="621AA57E"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r w:rsidRPr="006B0026">
        <w:rPr>
          <w:rFonts w:ascii="Calibri" w:hAnsi="Calibri" w:cstheme="majorHAnsi"/>
          <w:sz w:val="20"/>
          <w:szCs w:val="20"/>
        </w:rPr>
        <w:t>2.1.3.3.2. Erro no lance ofertado: pronta informação de erro pelo licitante, cotejada com demais elementos e informações aferidos pelo Agente de Contratação.</w:t>
      </w:r>
    </w:p>
    <w:p w14:paraId="334BC3B1"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p>
    <w:p w14:paraId="7C9F2CDF"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r w:rsidRPr="006B0026">
        <w:rPr>
          <w:rFonts w:ascii="Calibri" w:hAnsi="Calibri" w:cstheme="majorHAnsi"/>
          <w:sz w:val="20"/>
          <w:szCs w:val="20"/>
        </w:rPr>
        <w:t xml:space="preserve">2.1.3.3.3. Expertise que se exige em cotejo com o objeto social, capital social, experiência, porte da empresa e produto ofertado, sem prejuízo do profissionalismo esperado no negócio, valor, essencialidade, </w:t>
      </w:r>
      <w:proofErr w:type="spellStart"/>
      <w:r w:rsidRPr="006B0026">
        <w:rPr>
          <w:rFonts w:ascii="Calibri" w:hAnsi="Calibri" w:cstheme="majorHAnsi"/>
          <w:sz w:val="20"/>
          <w:szCs w:val="20"/>
        </w:rPr>
        <w:t>ordinariedade</w:t>
      </w:r>
      <w:proofErr w:type="spellEnd"/>
      <w:r w:rsidRPr="006B0026">
        <w:rPr>
          <w:rFonts w:ascii="Calibri" w:hAnsi="Calibri" w:cstheme="majorHAnsi"/>
          <w:sz w:val="20"/>
          <w:szCs w:val="20"/>
        </w:rPr>
        <w:t>, custo do objeto, produto ou prestação de serviço.</w:t>
      </w:r>
    </w:p>
    <w:p w14:paraId="01896379" w14:textId="77777777" w:rsidR="00511E10" w:rsidRPr="006B0026" w:rsidRDefault="00511E10" w:rsidP="00511E10">
      <w:pPr>
        <w:pStyle w:val="NormalWeb"/>
        <w:spacing w:before="0" w:beforeAutospacing="0" w:after="0" w:afterAutospacing="0"/>
        <w:ind w:left="2832"/>
        <w:jc w:val="both"/>
        <w:rPr>
          <w:rFonts w:ascii="Calibri" w:hAnsi="Calibri" w:cstheme="majorHAnsi"/>
          <w:sz w:val="20"/>
          <w:szCs w:val="20"/>
        </w:rPr>
      </w:pPr>
    </w:p>
    <w:p w14:paraId="0EB9C132" w14:textId="77777777" w:rsidR="00511E10" w:rsidRPr="006B0026" w:rsidRDefault="00511E10" w:rsidP="00A30541">
      <w:pPr>
        <w:pStyle w:val="NormalWeb"/>
        <w:numPr>
          <w:ilvl w:val="0"/>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u w:val="single"/>
        </w:rPr>
        <w:t>Não atender a diligência do Pregoeiro</w:t>
      </w:r>
      <w:r w:rsidRPr="006B0026">
        <w:rPr>
          <w:rFonts w:ascii="Calibri" w:hAnsi="Calibri" w:cstheme="majorHAnsi"/>
          <w:sz w:val="20"/>
          <w:szCs w:val="20"/>
        </w:rPr>
        <w:t>, em conformidade às condições prescritas, na forma, tempo e modo de regência, para as finalidades de ajustar, apresentar, adequar:</w:t>
      </w:r>
    </w:p>
    <w:p w14:paraId="07356366" w14:textId="77777777" w:rsidR="00511E10" w:rsidRPr="006B0026" w:rsidRDefault="00511E10" w:rsidP="00511E10">
      <w:pPr>
        <w:pStyle w:val="NormalWeb"/>
        <w:spacing w:before="0" w:beforeAutospacing="0" w:after="0" w:afterAutospacing="0"/>
        <w:ind w:left="420"/>
        <w:jc w:val="both"/>
        <w:rPr>
          <w:rFonts w:ascii="Calibri" w:hAnsi="Calibri" w:cstheme="majorHAnsi"/>
          <w:sz w:val="20"/>
          <w:szCs w:val="20"/>
        </w:rPr>
      </w:pPr>
    </w:p>
    <w:p w14:paraId="263302EE"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Proposta de preços. </w:t>
      </w:r>
    </w:p>
    <w:p w14:paraId="0E042F81"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2,5% do valor da proposta ou lance, no valor mínimo de R$ 2.500,00.</w:t>
      </w:r>
    </w:p>
    <w:p w14:paraId="519F2B30"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62489EEC"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Documentos de habilitação. </w:t>
      </w:r>
    </w:p>
    <w:p w14:paraId="1705BB06"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2,5% do valor da proposta ou lance, no valor mínimo de R$ 2.500,00.</w:t>
      </w:r>
    </w:p>
    <w:p w14:paraId="51E48F40"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48585B52"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Amostras. </w:t>
      </w:r>
    </w:p>
    <w:p w14:paraId="00B4472A"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3% do valor da proposta ou lance, no valor mínimo de R$ 3.000,00</w:t>
      </w:r>
    </w:p>
    <w:p w14:paraId="1F1AB8BA"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5F2D8053" w14:textId="77777777" w:rsidR="00511E10" w:rsidRPr="006B0026" w:rsidRDefault="00511E10" w:rsidP="00A30541">
      <w:pPr>
        <w:pStyle w:val="NormalWeb"/>
        <w:numPr>
          <w:ilvl w:val="1"/>
          <w:numId w:val="8"/>
        </w:numPr>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Demais desatendimentos à convocação do Pregoeiro. </w:t>
      </w:r>
    </w:p>
    <w:p w14:paraId="6FA0E3CD"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r w:rsidRPr="006B0026">
        <w:rPr>
          <w:rFonts w:ascii="Calibri" w:hAnsi="Calibri" w:cstheme="majorHAnsi"/>
          <w:sz w:val="20"/>
          <w:szCs w:val="20"/>
        </w:rPr>
        <w:t>Pena: multa de 2% do valor da proposta ou lance, no valor mínimo de R$ 2.000,00.</w:t>
      </w:r>
    </w:p>
    <w:p w14:paraId="0A502A5C" w14:textId="77777777" w:rsidR="00511E10" w:rsidRPr="006B0026" w:rsidRDefault="00511E10" w:rsidP="00511E10">
      <w:pPr>
        <w:pStyle w:val="NormalWeb"/>
        <w:spacing w:before="0" w:beforeAutospacing="0" w:after="0" w:afterAutospacing="0"/>
        <w:ind w:left="1428"/>
        <w:jc w:val="both"/>
        <w:rPr>
          <w:rFonts w:ascii="Calibri" w:hAnsi="Calibri" w:cstheme="majorHAnsi"/>
          <w:sz w:val="20"/>
          <w:szCs w:val="20"/>
        </w:rPr>
      </w:pPr>
    </w:p>
    <w:p w14:paraId="4075BAB4" w14:textId="77777777" w:rsidR="00511E10" w:rsidRPr="006B0026" w:rsidRDefault="00511E10" w:rsidP="00A30541">
      <w:pPr>
        <w:pStyle w:val="NormalWeb"/>
        <w:numPr>
          <w:ilvl w:val="0"/>
          <w:numId w:val="8"/>
        </w:numPr>
        <w:tabs>
          <w:tab w:val="left" w:pos="426"/>
        </w:tabs>
        <w:spacing w:before="0" w:beforeAutospacing="0" w:after="0" w:afterAutospacing="0"/>
        <w:jc w:val="both"/>
        <w:rPr>
          <w:rFonts w:ascii="Calibri" w:hAnsi="Calibri" w:cstheme="majorHAnsi"/>
          <w:sz w:val="20"/>
          <w:szCs w:val="20"/>
          <w:u w:val="single"/>
        </w:rPr>
      </w:pPr>
      <w:r w:rsidRPr="006B0026">
        <w:rPr>
          <w:rFonts w:ascii="Calibri" w:hAnsi="Calibri" w:cstheme="majorHAnsi"/>
          <w:sz w:val="20"/>
          <w:szCs w:val="20"/>
          <w:u w:val="single"/>
        </w:rPr>
        <w:t>Não apresentação de proposta válida:</w:t>
      </w:r>
    </w:p>
    <w:p w14:paraId="7F885677" w14:textId="77777777" w:rsidR="00511E10" w:rsidRPr="006B0026" w:rsidRDefault="00511E10" w:rsidP="00511E10">
      <w:pPr>
        <w:pStyle w:val="NormalWeb"/>
        <w:tabs>
          <w:tab w:val="left" w:pos="426"/>
        </w:tabs>
        <w:spacing w:before="0" w:beforeAutospacing="0" w:after="0" w:afterAutospacing="0"/>
        <w:ind w:left="420"/>
        <w:jc w:val="both"/>
        <w:rPr>
          <w:rFonts w:ascii="Calibri" w:hAnsi="Calibri" w:cstheme="majorHAnsi"/>
          <w:sz w:val="20"/>
          <w:szCs w:val="20"/>
        </w:rPr>
      </w:pPr>
    </w:p>
    <w:p w14:paraId="2C6A1396"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4.1. </w:t>
      </w:r>
      <w:r w:rsidRPr="006B0026">
        <w:rPr>
          <w:rFonts w:ascii="Calibri" w:hAnsi="Calibri" w:cstheme="majorHAnsi"/>
          <w:sz w:val="20"/>
          <w:szCs w:val="20"/>
        </w:rPr>
        <w:tab/>
        <w:t>Não adequação da proposta de preço, com o ajuste e especificação de seus componentes em decorrência do lance em cotejo com a original proposta apresentada.</w:t>
      </w:r>
    </w:p>
    <w:p w14:paraId="7C7E1ACF" w14:textId="77777777" w:rsidR="00511E10" w:rsidRPr="006B0026" w:rsidRDefault="00511E10" w:rsidP="00511E10">
      <w:pPr>
        <w:pStyle w:val="NormalWeb"/>
        <w:spacing w:before="0" w:beforeAutospacing="0" w:after="0" w:afterAutospacing="0"/>
        <w:ind w:left="1418" w:hanging="2"/>
        <w:jc w:val="both"/>
        <w:rPr>
          <w:rFonts w:ascii="Calibri" w:hAnsi="Calibri" w:cstheme="majorHAnsi"/>
          <w:sz w:val="20"/>
          <w:szCs w:val="20"/>
        </w:rPr>
      </w:pPr>
      <w:r w:rsidRPr="006B0026">
        <w:rPr>
          <w:rFonts w:ascii="Calibri" w:hAnsi="Calibri" w:cstheme="majorHAnsi"/>
          <w:sz w:val="20"/>
          <w:szCs w:val="20"/>
        </w:rPr>
        <w:t>Pena: multa de 4% do valor da proposta ou lance, no valor mínimo de R$ 4.000,00.</w:t>
      </w:r>
    </w:p>
    <w:p w14:paraId="0CD775AE" w14:textId="77777777" w:rsidR="00511E10" w:rsidRPr="006B0026" w:rsidRDefault="00511E10" w:rsidP="00511E10">
      <w:pPr>
        <w:pStyle w:val="NormalWeb"/>
        <w:spacing w:before="0" w:beforeAutospacing="0" w:after="0" w:afterAutospacing="0"/>
        <w:ind w:left="1418" w:hanging="2"/>
        <w:jc w:val="both"/>
        <w:rPr>
          <w:rFonts w:ascii="Calibri" w:hAnsi="Calibri" w:cstheme="majorHAnsi"/>
          <w:sz w:val="20"/>
          <w:szCs w:val="20"/>
        </w:rPr>
      </w:pPr>
    </w:p>
    <w:p w14:paraId="40CA5F11"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4.2.      Resposta à convocação do Pregoeiro ou resposta à diligência do Pregoeiro, a exemplo de proposta de preços, documentos de habilitação e amostras solicitadas em manifesta desconformidade às condições clara e objetivamente definidas no Edital;</w:t>
      </w:r>
    </w:p>
    <w:p w14:paraId="2EADD443"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 multa de 7% do valor da proposta ou lance, no valor mínimo de R$ 7.000,00.</w:t>
      </w:r>
    </w:p>
    <w:p w14:paraId="5DB4D3F2"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7D33E14C"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r w:rsidRPr="006B0026">
        <w:rPr>
          <w:rFonts w:ascii="Calibri" w:hAnsi="Calibri" w:cstheme="majorHAnsi"/>
          <w:sz w:val="20"/>
          <w:szCs w:val="20"/>
        </w:rPr>
        <w:t>4.2.1. Enquadra-se nas condutas ilícitas descritas, quem em eventual comunicação de recebimento da demanda, não entrega efetivamente as informações, documentos e remessas solicitadas.</w:t>
      </w:r>
    </w:p>
    <w:p w14:paraId="4A572083" w14:textId="77777777" w:rsidR="00511E10" w:rsidRPr="006B0026" w:rsidRDefault="00511E10" w:rsidP="00511E10">
      <w:pPr>
        <w:pStyle w:val="NormalWeb"/>
        <w:spacing w:before="0" w:beforeAutospacing="0" w:after="0" w:afterAutospacing="0"/>
        <w:ind w:left="1985" w:hanging="567"/>
        <w:jc w:val="both"/>
        <w:rPr>
          <w:rFonts w:ascii="Calibri" w:hAnsi="Calibri" w:cstheme="majorHAnsi"/>
          <w:sz w:val="20"/>
          <w:szCs w:val="20"/>
        </w:rPr>
      </w:pPr>
    </w:p>
    <w:p w14:paraId="0B871DD5"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4.3.      Apresentar lance ou proposta manifestamente inexequível, considerando-se como tal, quaisquer das situações:</w:t>
      </w:r>
    </w:p>
    <w:p w14:paraId="5990187E"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p>
    <w:p w14:paraId="080888BF"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4.3.1. Não suporte os custos mínimos normativamente obrigatórios;</w:t>
      </w:r>
    </w:p>
    <w:p w14:paraId="4A72BB3D"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2E85E150"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4.3.2. Não comprove contemplar os custos materialmente necessários ou economicamente sustentáveis à viabilidade do objeto licitado;</w:t>
      </w:r>
    </w:p>
    <w:p w14:paraId="61217ED8"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5D0C1AEE"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4.3.3. Não comprove deter patrimônio líquido, disponível e livre de quaisquer obrigações ou indícios de que se vincule a diversa responsabilidade denotando suporte econômico-patrimonial para arcar com os custos referidos nos itens precedentes quando sejam maiores que o lucro estimado em decorrência do lance apresentado.</w:t>
      </w:r>
    </w:p>
    <w:p w14:paraId="3471FCF8"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14028E23"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 multa de 10% do valor da proposta ou lance, no valor mínimo de R$ 10.000,00.</w:t>
      </w:r>
    </w:p>
    <w:p w14:paraId="4113989A"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27D21527"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4.4. </w:t>
      </w:r>
      <w:r w:rsidRPr="006B0026">
        <w:rPr>
          <w:rFonts w:ascii="Calibri" w:hAnsi="Calibri" w:cstheme="majorHAnsi"/>
          <w:sz w:val="20"/>
          <w:szCs w:val="20"/>
        </w:rPr>
        <w:tab/>
        <w:t>Apresentar objeto inadequado aos termos do Edital, considerando-se como tal, dentre outras situações:</w:t>
      </w:r>
    </w:p>
    <w:p w14:paraId="41823E67"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p>
    <w:p w14:paraId="3CA0C8F7"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4.4.1. Especificação que impeça o funcionamento do produto ou a viabilização da prestação do serviço conforme demandado pela Administração;</w:t>
      </w:r>
    </w:p>
    <w:p w14:paraId="7F4A7382"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663E42E0"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4.4.2. Majoritário ou essencial desatendimento das especificações do produto ou serviço;</w:t>
      </w:r>
    </w:p>
    <w:p w14:paraId="7D9886EE"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5F7D4674"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4.4.3. Frontal desconformidade das especificações que definiram a razão de ser do certame.</w:t>
      </w:r>
    </w:p>
    <w:p w14:paraId="6404C2DB"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25B428EC"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 multa de 3% do valor da proposta ou lance, no valor mínimo de R$ 3.000,00.</w:t>
      </w:r>
    </w:p>
    <w:p w14:paraId="0B92A5A7"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13E9A8D3"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4.5. </w:t>
      </w:r>
      <w:r w:rsidRPr="006B0026">
        <w:rPr>
          <w:rFonts w:ascii="Calibri" w:hAnsi="Calibri" w:cstheme="majorHAnsi"/>
          <w:sz w:val="20"/>
          <w:szCs w:val="20"/>
        </w:rPr>
        <w:tab/>
        <w:t>A caracterização das infrações de oferta de lance ou proposta manifestamente inexequível e oferta de objeto inadequado ao Edital requer indícios de materialidade a serem constatados pelo Pregoeiro, após outorgar a oportunidade de manifestação do licitante em atendimento à sua convocação em diligência.</w:t>
      </w:r>
    </w:p>
    <w:p w14:paraId="05FE6020"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0ABA6B51"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r w:rsidRPr="006B0026">
        <w:rPr>
          <w:rFonts w:ascii="Calibri" w:hAnsi="Calibri" w:cstheme="majorHAnsi"/>
          <w:sz w:val="20"/>
          <w:szCs w:val="20"/>
        </w:rPr>
        <w:t xml:space="preserve">5. </w:t>
      </w:r>
      <w:r w:rsidRPr="006B0026">
        <w:rPr>
          <w:rFonts w:ascii="Calibri" w:hAnsi="Calibri" w:cstheme="majorHAnsi"/>
          <w:sz w:val="20"/>
          <w:szCs w:val="20"/>
        </w:rPr>
        <w:tab/>
      </w:r>
      <w:r w:rsidRPr="006B0026">
        <w:rPr>
          <w:rFonts w:ascii="Calibri" w:hAnsi="Calibri" w:cstheme="majorHAnsi"/>
          <w:sz w:val="20"/>
          <w:szCs w:val="20"/>
          <w:u w:val="single"/>
        </w:rPr>
        <w:t>Não formalização contratual</w:t>
      </w:r>
      <w:r w:rsidRPr="006B0026">
        <w:rPr>
          <w:rFonts w:ascii="Calibri" w:hAnsi="Calibri" w:cstheme="majorHAnsi"/>
          <w:sz w:val="20"/>
          <w:szCs w:val="20"/>
        </w:rPr>
        <w:t>, enquadrando-se na infração, dentre outros comportamentos, não celebrar o contrato ou não entregar a documentação exigida para a contratação, quando convocado dentro do prazo de validade de sua proposta, a não entrega de documentação necessária inviabilizando a assinatura do contrato ou não assinar contrato, estando, em qualquer situação, no prazo de validade da proposta:</w:t>
      </w:r>
    </w:p>
    <w:p w14:paraId="2CB3C50A"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079AD678"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r w:rsidRPr="006B0026">
        <w:rPr>
          <w:rFonts w:ascii="Calibri" w:hAnsi="Calibri" w:cstheme="majorHAnsi"/>
          <w:sz w:val="20"/>
          <w:szCs w:val="20"/>
        </w:rPr>
        <w:t>Penas:</w:t>
      </w:r>
    </w:p>
    <w:p w14:paraId="5A227828"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r w:rsidRPr="006B0026">
        <w:rPr>
          <w:rFonts w:ascii="Calibri" w:hAnsi="Calibri" w:cstheme="majorHAnsi"/>
          <w:sz w:val="20"/>
          <w:szCs w:val="20"/>
        </w:rPr>
        <w:t>Multa de 10% do valor total da proposta ou lance final, no valor mínimo de R$ 10.000,00; e</w:t>
      </w:r>
    </w:p>
    <w:p w14:paraId="77688A11"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r w:rsidRPr="006B0026">
        <w:rPr>
          <w:rFonts w:ascii="Calibri" w:hAnsi="Calibri" w:cstheme="majorHAnsi"/>
          <w:sz w:val="20"/>
          <w:szCs w:val="20"/>
        </w:rPr>
        <w:t>Impedimento de licitar e de contratar com a União por 18 meses.</w:t>
      </w:r>
    </w:p>
    <w:p w14:paraId="0085B1D4"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2403CB0A"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6.    </w:t>
      </w:r>
      <w:r w:rsidRPr="006B0026">
        <w:rPr>
          <w:rFonts w:ascii="Calibri" w:hAnsi="Calibri" w:cstheme="majorHAnsi"/>
          <w:sz w:val="20"/>
          <w:szCs w:val="20"/>
          <w:u w:val="single"/>
        </w:rPr>
        <w:t>Comportamento inidôneo</w:t>
      </w:r>
      <w:r w:rsidRPr="006B0026">
        <w:rPr>
          <w:rFonts w:ascii="Calibri" w:hAnsi="Calibri" w:cstheme="majorHAnsi"/>
          <w:sz w:val="20"/>
          <w:szCs w:val="20"/>
        </w:rPr>
        <w:t>, considerando-se, dentre outros:</w:t>
      </w:r>
    </w:p>
    <w:p w14:paraId="4090FAE0"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14F54A38" w14:textId="77777777" w:rsidR="00511E10" w:rsidRPr="006B0026" w:rsidRDefault="00511E10" w:rsidP="00511E10">
      <w:pPr>
        <w:pStyle w:val="NormalWeb"/>
        <w:spacing w:before="0" w:beforeAutospacing="0" w:after="0" w:afterAutospacing="0"/>
        <w:ind w:left="1416" w:hanging="707"/>
        <w:jc w:val="both"/>
        <w:rPr>
          <w:rFonts w:ascii="Calibri" w:hAnsi="Calibri" w:cstheme="majorHAnsi"/>
          <w:sz w:val="20"/>
          <w:szCs w:val="20"/>
        </w:rPr>
      </w:pPr>
      <w:r w:rsidRPr="006B0026">
        <w:rPr>
          <w:rFonts w:ascii="Calibri" w:hAnsi="Calibri" w:cstheme="majorHAnsi"/>
          <w:sz w:val="20"/>
          <w:szCs w:val="20"/>
        </w:rPr>
        <w:t xml:space="preserve">6.1. </w:t>
      </w:r>
      <w:r w:rsidRPr="006B0026">
        <w:rPr>
          <w:rFonts w:ascii="Calibri" w:hAnsi="Calibri" w:cstheme="majorHAnsi"/>
          <w:sz w:val="20"/>
          <w:szCs w:val="20"/>
        </w:rPr>
        <w:tab/>
        <w:t>Participar do certame em situação restritiva que o impeça, a exemplo de licitante impedida, suspensa do direito de licitar ou contratar, descredenciado no SICAF</w:t>
      </w:r>
    </w:p>
    <w:p w14:paraId="212CF241"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Penas:</w:t>
      </w:r>
    </w:p>
    <w:p w14:paraId="54566C06"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Multa de 7% do valor total da proposta ou lance final, no valor mínimo de R$ 7.000,00; e</w:t>
      </w:r>
    </w:p>
    <w:p w14:paraId="127AF5CE" w14:textId="77777777" w:rsidR="00511E10" w:rsidRPr="006B0026" w:rsidRDefault="00511E10" w:rsidP="00511E10">
      <w:pPr>
        <w:pStyle w:val="NormalWeb"/>
        <w:spacing w:before="0" w:beforeAutospacing="0" w:after="0" w:afterAutospacing="0"/>
        <w:ind w:left="1418"/>
        <w:jc w:val="both"/>
        <w:rPr>
          <w:rFonts w:ascii="Calibri" w:hAnsi="Calibri" w:cstheme="majorHAnsi"/>
          <w:sz w:val="20"/>
          <w:szCs w:val="20"/>
        </w:rPr>
      </w:pPr>
      <w:r w:rsidRPr="006B0026">
        <w:rPr>
          <w:rFonts w:ascii="Calibri" w:hAnsi="Calibri" w:cstheme="majorHAnsi"/>
          <w:sz w:val="20"/>
          <w:szCs w:val="20"/>
        </w:rPr>
        <w:t>Suspensão temporária de participação em licitação e impedimento de contratar com a ANEEL por 24 meses.</w:t>
      </w:r>
    </w:p>
    <w:p w14:paraId="1234883A" w14:textId="77777777" w:rsidR="00511E10" w:rsidRPr="006B0026" w:rsidRDefault="00511E10" w:rsidP="00511E10">
      <w:pPr>
        <w:pStyle w:val="NormalWeb"/>
        <w:spacing w:before="0" w:beforeAutospacing="0" w:after="0" w:afterAutospacing="0"/>
        <w:ind w:left="1418"/>
        <w:jc w:val="both"/>
        <w:rPr>
          <w:rFonts w:ascii="Calibri" w:hAnsi="Calibri" w:cstheme="majorHAnsi"/>
          <w:sz w:val="20"/>
          <w:szCs w:val="20"/>
        </w:rPr>
      </w:pPr>
    </w:p>
    <w:p w14:paraId="045AC8E1"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 xml:space="preserve">6.2. </w:t>
      </w:r>
      <w:r w:rsidRPr="006B0026">
        <w:rPr>
          <w:rFonts w:ascii="Calibri" w:hAnsi="Calibri" w:cstheme="majorHAnsi"/>
          <w:sz w:val="20"/>
          <w:szCs w:val="20"/>
        </w:rPr>
        <w:tab/>
        <w:t>Licitante não habilitada ou não qualificada</w:t>
      </w:r>
    </w:p>
    <w:p w14:paraId="29D90EDF"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Penas:</w:t>
      </w:r>
    </w:p>
    <w:p w14:paraId="071C3E28"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Multa de 10% do valor total da proposta ou lance final, no valor mínimo de R$ 10.000,00; e</w:t>
      </w:r>
    </w:p>
    <w:p w14:paraId="61894066"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Suspensão temporária de participação em licitação e impedimento de contratar com a ANEEL por 12 meses.</w:t>
      </w:r>
    </w:p>
    <w:p w14:paraId="697867E9" w14:textId="77777777" w:rsidR="00511E10" w:rsidRPr="006B0026" w:rsidRDefault="00511E10" w:rsidP="00511E10">
      <w:pPr>
        <w:pStyle w:val="NormalWeb"/>
        <w:spacing w:before="0" w:beforeAutospacing="0" w:after="0" w:afterAutospacing="0"/>
        <w:ind w:left="708"/>
        <w:jc w:val="both"/>
        <w:rPr>
          <w:rFonts w:ascii="Calibri" w:hAnsi="Calibri" w:cstheme="majorHAnsi"/>
          <w:sz w:val="20"/>
          <w:szCs w:val="20"/>
        </w:rPr>
      </w:pPr>
    </w:p>
    <w:p w14:paraId="4B375433"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 xml:space="preserve">6.3. </w:t>
      </w:r>
      <w:r w:rsidRPr="006B0026">
        <w:rPr>
          <w:rFonts w:ascii="Calibri" w:hAnsi="Calibri" w:cstheme="majorHAnsi"/>
          <w:sz w:val="20"/>
          <w:szCs w:val="20"/>
        </w:rPr>
        <w:tab/>
        <w:t>Falsidade documental ou ideológica</w:t>
      </w:r>
    </w:p>
    <w:p w14:paraId="24A5FA5A"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Penas:</w:t>
      </w:r>
    </w:p>
    <w:p w14:paraId="0E820FA9"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Multa de 20% do valor total da proposta ou lance final, no valor mínimo de R$ 20.000,00; e</w:t>
      </w:r>
    </w:p>
    <w:p w14:paraId="2E9F8C61"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Impedimento do direito de licitar e contratar com a União por 30 meses.</w:t>
      </w:r>
    </w:p>
    <w:p w14:paraId="39D931BE" w14:textId="77777777" w:rsidR="00511E10" w:rsidRPr="006B0026" w:rsidRDefault="00511E10" w:rsidP="00511E10">
      <w:pPr>
        <w:pStyle w:val="NormalWeb"/>
        <w:spacing w:before="0" w:beforeAutospacing="0" w:after="0" w:afterAutospacing="0"/>
        <w:ind w:left="708"/>
        <w:jc w:val="both"/>
        <w:rPr>
          <w:rFonts w:ascii="Calibri" w:hAnsi="Calibri" w:cstheme="majorHAnsi"/>
          <w:sz w:val="20"/>
          <w:szCs w:val="20"/>
        </w:rPr>
      </w:pPr>
    </w:p>
    <w:p w14:paraId="5C560AF5"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6.3.1. Considera-se, dentre outras, documentação falsa, a apresentação de:</w:t>
      </w:r>
    </w:p>
    <w:p w14:paraId="6BEF3709"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531F52E6"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6.3.1.1. Documento com conteúdo falso;</w:t>
      </w:r>
    </w:p>
    <w:p w14:paraId="73BC1A7E"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6.3.1.2. Documentação com emenda ou rasura que prejudique a veracidade de informações;</w:t>
      </w:r>
    </w:p>
    <w:p w14:paraId="125144EB"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r w:rsidRPr="006B0026">
        <w:rPr>
          <w:rFonts w:ascii="Calibri" w:hAnsi="Calibri" w:cstheme="majorHAnsi"/>
          <w:sz w:val="20"/>
          <w:szCs w:val="20"/>
        </w:rPr>
        <w:t>6.3.1.3. Declaração falsa quanto ao enquadramento como ME/EPP e para efeito do Decreto nº 7.174/2010 e normativas que se sucederem;</w:t>
      </w:r>
    </w:p>
    <w:p w14:paraId="52CDA9A3" w14:textId="77777777" w:rsidR="00511E10" w:rsidRPr="006B0026" w:rsidRDefault="00511E10" w:rsidP="00511E10">
      <w:pPr>
        <w:pStyle w:val="NormalWeb"/>
        <w:spacing w:before="0" w:beforeAutospacing="0" w:after="0" w:afterAutospacing="0"/>
        <w:ind w:left="2835" w:hanging="711"/>
        <w:jc w:val="both"/>
        <w:rPr>
          <w:rFonts w:ascii="Calibri" w:hAnsi="Calibri" w:cstheme="majorHAnsi"/>
          <w:sz w:val="20"/>
          <w:szCs w:val="20"/>
        </w:rPr>
      </w:pPr>
      <w:r w:rsidRPr="006B0026">
        <w:rPr>
          <w:rFonts w:ascii="Calibri" w:hAnsi="Calibri" w:cstheme="majorHAnsi"/>
          <w:sz w:val="20"/>
          <w:szCs w:val="20"/>
        </w:rPr>
        <w:t>6.3.1.4. Apresentar declaração ou documentação falsa exigida para o certame ou prestar declaração falsa durante a licitação ou a execução do contrato;</w:t>
      </w:r>
    </w:p>
    <w:p w14:paraId="36F1A9E2"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6.3.1.5. Comportar-se de modo inidôneo.</w:t>
      </w:r>
    </w:p>
    <w:p w14:paraId="700F0A81"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p>
    <w:p w14:paraId="0C12FB0A"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7.      Frustrar o caráter competitivo do certame; agir em conluio ou em desconformidade com a lei, em qualquer momento da licitação, mesmo após o encerramento da fase de lances; induzir a erro no julgamento; modificar a proposta apresentada, a exemplo de incluir, retirar ou alterar propostas e especificações do objeto apresentado, da qualificação e habilitação do licitante; agir com fraude, inclusive fiscal; fraudar a licitação ou praticar ato fraudulento na execução do contrato; ou cometer fraude de qualquer natureza; praticar atos ilícitos com vistas a frustrar os objetivos da licitação; praticar ato lesivo previsto no art. 5º da Lei nº 12.846, de 1º de agosto de 2013.</w:t>
      </w:r>
    </w:p>
    <w:p w14:paraId="4F3571FE" w14:textId="77777777" w:rsidR="00511E10" w:rsidRPr="006B0026" w:rsidRDefault="00511E10" w:rsidP="00511E10">
      <w:pPr>
        <w:pStyle w:val="NormalWeb"/>
        <w:spacing w:before="0" w:beforeAutospacing="0" w:after="0" w:afterAutospacing="0"/>
        <w:ind w:left="567"/>
        <w:jc w:val="both"/>
        <w:rPr>
          <w:rFonts w:ascii="Calibri" w:hAnsi="Calibri" w:cstheme="majorHAnsi"/>
          <w:sz w:val="20"/>
          <w:szCs w:val="20"/>
        </w:rPr>
      </w:pPr>
      <w:r w:rsidRPr="006B0026">
        <w:rPr>
          <w:rFonts w:ascii="Calibri" w:hAnsi="Calibri" w:cstheme="majorHAnsi"/>
          <w:sz w:val="20"/>
          <w:szCs w:val="20"/>
        </w:rPr>
        <w:t>Penas:</w:t>
      </w:r>
    </w:p>
    <w:p w14:paraId="5063026D" w14:textId="77777777" w:rsidR="00511E10" w:rsidRPr="006B0026" w:rsidRDefault="00511E10" w:rsidP="00511E10">
      <w:pPr>
        <w:pStyle w:val="NormalWeb"/>
        <w:spacing w:before="0" w:beforeAutospacing="0" w:after="0" w:afterAutospacing="0"/>
        <w:ind w:left="567"/>
        <w:jc w:val="both"/>
        <w:rPr>
          <w:rFonts w:ascii="Calibri" w:hAnsi="Calibri" w:cstheme="majorHAnsi"/>
          <w:sz w:val="20"/>
          <w:szCs w:val="20"/>
        </w:rPr>
      </w:pPr>
      <w:r w:rsidRPr="006B0026">
        <w:rPr>
          <w:rFonts w:ascii="Calibri" w:hAnsi="Calibri" w:cstheme="majorHAnsi"/>
          <w:sz w:val="20"/>
          <w:szCs w:val="20"/>
        </w:rPr>
        <w:t>Multa de 25% do valor total da proposta ou lance final, no valor mínimo de R$ 25.000,00; e</w:t>
      </w:r>
    </w:p>
    <w:p w14:paraId="0160F1AF" w14:textId="77777777" w:rsidR="00511E10" w:rsidRPr="006B0026" w:rsidRDefault="00511E10" w:rsidP="00511E10">
      <w:pPr>
        <w:pStyle w:val="NormalWeb"/>
        <w:spacing w:before="0" w:beforeAutospacing="0" w:after="0" w:afterAutospacing="0"/>
        <w:ind w:left="567"/>
        <w:jc w:val="both"/>
        <w:rPr>
          <w:rFonts w:ascii="Calibri" w:hAnsi="Calibri" w:cstheme="majorHAnsi"/>
          <w:sz w:val="20"/>
          <w:szCs w:val="20"/>
        </w:rPr>
      </w:pPr>
      <w:r w:rsidRPr="006B0026">
        <w:rPr>
          <w:rFonts w:ascii="Calibri" w:hAnsi="Calibri" w:cstheme="majorHAnsi"/>
          <w:sz w:val="20"/>
          <w:szCs w:val="20"/>
        </w:rPr>
        <w:t>Impedimento do direito de licitar e contratar com a União por 36 meses.</w:t>
      </w:r>
    </w:p>
    <w:p w14:paraId="7F247121" w14:textId="77777777" w:rsidR="00511E10" w:rsidRPr="006B0026" w:rsidRDefault="00511E10" w:rsidP="00511E10">
      <w:pPr>
        <w:pStyle w:val="NormalWeb"/>
        <w:spacing w:before="0" w:beforeAutospacing="0" w:after="0" w:afterAutospacing="0"/>
        <w:ind w:left="426"/>
        <w:jc w:val="both"/>
        <w:rPr>
          <w:rFonts w:ascii="Calibri" w:hAnsi="Calibri" w:cstheme="majorHAnsi"/>
          <w:sz w:val="20"/>
          <w:szCs w:val="20"/>
        </w:rPr>
      </w:pPr>
    </w:p>
    <w:p w14:paraId="341505C9"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8.       Ensejar o retardamento da execução ou da entrega do objeto da licitação sem motivo justificado.</w:t>
      </w:r>
    </w:p>
    <w:p w14:paraId="258BCCB5"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          Pena mínima de multa entre 5% e 20% do valor do contrato.</w:t>
      </w:r>
    </w:p>
    <w:p w14:paraId="7F3909AD"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4A352E74" w14:textId="77777777" w:rsidR="00511E10" w:rsidRPr="006B0026" w:rsidRDefault="00511E10" w:rsidP="00511E10">
      <w:pPr>
        <w:pStyle w:val="NormalWeb"/>
        <w:tabs>
          <w:tab w:val="left" w:pos="567"/>
        </w:tabs>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9.       Dar causa à inexecução parcial do contrato.</w:t>
      </w:r>
    </w:p>
    <w:p w14:paraId="7543F4AD" w14:textId="77777777" w:rsidR="00511E10" w:rsidRPr="006B0026" w:rsidRDefault="00511E10" w:rsidP="00511E10">
      <w:pPr>
        <w:pStyle w:val="NormalWeb"/>
        <w:tabs>
          <w:tab w:val="left" w:pos="567"/>
        </w:tabs>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          Pena mínima de multa entre 10% e 25% do valor do contrato.</w:t>
      </w:r>
    </w:p>
    <w:p w14:paraId="4B0E7733"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04FFBE2A"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10.    Dar causa à inexecução parcial do contrato que cause grave dano à Administração, ao funcionamento dos   serviços  públicos ou ao interesse coletivo;</w:t>
      </w:r>
    </w:p>
    <w:p w14:paraId="622F148B" w14:textId="77777777" w:rsidR="00511E10" w:rsidRPr="006B0026" w:rsidRDefault="00511E10" w:rsidP="00511E10">
      <w:pPr>
        <w:pStyle w:val="NormalWeb"/>
        <w:spacing w:before="0" w:beforeAutospacing="0" w:after="0" w:afterAutospacing="0"/>
        <w:ind w:firstLine="567"/>
        <w:jc w:val="both"/>
        <w:rPr>
          <w:rFonts w:ascii="Calibri" w:hAnsi="Calibri" w:cstheme="majorHAnsi"/>
          <w:sz w:val="20"/>
          <w:szCs w:val="20"/>
        </w:rPr>
      </w:pPr>
      <w:r w:rsidRPr="006B0026">
        <w:rPr>
          <w:rFonts w:ascii="Calibri" w:hAnsi="Calibri" w:cstheme="majorHAnsi"/>
          <w:sz w:val="20"/>
          <w:szCs w:val="20"/>
        </w:rPr>
        <w:t>Pena mínima de multa entre 15% e 30% do valor do contrato.</w:t>
      </w:r>
    </w:p>
    <w:p w14:paraId="4333F6AE" w14:textId="77777777" w:rsidR="00511E10" w:rsidRPr="006B0026" w:rsidRDefault="00511E10" w:rsidP="00511E10">
      <w:pPr>
        <w:pStyle w:val="NormalWeb"/>
        <w:spacing w:before="0" w:beforeAutospacing="0" w:after="0" w:afterAutospacing="0"/>
        <w:ind w:firstLine="426"/>
        <w:jc w:val="both"/>
        <w:rPr>
          <w:rFonts w:ascii="Calibri" w:hAnsi="Calibri" w:cstheme="majorHAnsi"/>
          <w:sz w:val="20"/>
          <w:szCs w:val="20"/>
        </w:rPr>
      </w:pPr>
    </w:p>
    <w:p w14:paraId="3B8B576A"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11.     Dar causa à inexecução total do contrato;</w:t>
      </w:r>
    </w:p>
    <w:p w14:paraId="6BA54E0E"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r w:rsidRPr="006B0026">
        <w:rPr>
          <w:rFonts w:ascii="Calibri" w:hAnsi="Calibri" w:cstheme="majorHAnsi"/>
          <w:sz w:val="20"/>
          <w:szCs w:val="20"/>
        </w:rPr>
        <w:t xml:space="preserve">          Pena mínima de multa entre 20% e 30% do valor do contrato.</w:t>
      </w:r>
    </w:p>
    <w:p w14:paraId="3FB0530A"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6A6E8C75"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12.    A autoridade competente, na aplicação das sanções, apreciará as justificativas arguidas, considerará o princípio da proporcionalidade, a gravidade da conduta do infrator, o caráter educativo da pena e o dano causado à Administração, embora não se confundam a responsabilidade civil com a administrativa e parâmetros estipulados na infração de desistência.</w:t>
      </w:r>
    </w:p>
    <w:p w14:paraId="2E0F5EF0"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1EB9EF63" w14:textId="77777777" w:rsidR="00511E10" w:rsidRPr="006B0026" w:rsidRDefault="00511E10" w:rsidP="00511E10">
      <w:pPr>
        <w:pStyle w:val="NormalWeb"/>
        <w:spacing w:before="0" w:beforeAutospacing="0" w:after="0" w:afterAutospacing="0"/>
        <w:ind w:left="993" w:hanging="567"/>
        <w:jc w:val="both"/>
        <w:rPr>
          <w:rFonts w:ascii="Calibri" w:hAnsi="Calibri" w:cstheme="majorHAnsi"/>
          <w:sz w:val="20"/>
          <w:szCs w:val="20"/>
        </w:rPr>
      </w:pPr>
      <w:r w:rsidRPr="006B0026">
        <w:rPr>
          <w:rFonts w:ascii="Calibri" w:hAnsi="Calibri" w:cstheme="majorHAnsi"/>
          <w:sz w:val="20"/>
          <w:szCs w:val="20"/>
        </w:rPr>
        <w:t>12.1.  A dosimetria das penas, segundo a modalidade de pena cominada considerará, salvo se elemento constitutivo da infração, na seguinte ordem:</w:t>
      </w:r>
    </w:p>
    <w:p w14:paraId="5E216668"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12.1.1. Causa de aumento em 10%:</w:t>
      </w:r>
    </w:p>
    <w:p w14:paraId="42627B86" w14:textId="77777777" w:rsidR="00511E10" w:rsidRPr="006B0026" w:rsidRDefault="00511E10" w:rsidP="00511E10">
      <w:pPr>
        <w:pStyle w:val="NormalWeb"/>
        <w:spacing w:before="0" w:beforeAutospacing="0" w:after="0" w:afterAutospacing="0"/>
        <w:ind w:left="2977" w:hanging="853"/>
        <w:jc w:val="both"/>
        <w:rPr>
          <w:rFonts w:ascii="Calibri" w:hAnsi="Calibri" w:cstheme="majorHAnsi"/>
          <w:sz w:val="20"/>
          <w:szCs w:val="20"/>
        </w:rPr>
      </w:pPr>
      <w:r w:rsidRPr="006B0026">
        <w:rPr>
          <w:rFonts w:ascii="Calibri" w:hAnsi="Calibri" w:cstheme="majorHAnsi"/>
          <w:sz w:val="20"/>
          <w:szCs w:val="20"/>
        </w:rPr>
        <w:t>12.1.1.1. Histórico de punições: outras condenações por infrações administrativas, inclusive em diversas entidades e órgãos, em penas iguais ou diversas em razão de mesmas ou diversas condutas e infrações conforme registrado no SICAF nos 36 meses precedentes.</w:t>
      </w:r>
    </w:p>
    <w:p w14:paraId="5729920E" w14:textId="77777777" w:rsidR="00511E10" w:rsidRPr="006B0026" w:rsidRDefault="00511E10" w:rsidP="00511E10">
      <w:pPr>
        <w:pStyle w:val="NormalWeb"/>
        <w:spacing w:before="0" w:beforeAutospacing="0" w:after="0" w:afterAutospacing="0"/>
        <w:ind w:left="708" w:firstLine="708"/>
        <w:jc w:val="both"/>
        <w:rPr>
          <w:rFonts w:ascii="Calibri" w:hAnsi="Calibri" w:cstheme="majorHAnsi"/>
          <w:sz w:val="20"/>
          <w:szCs w:val="20"/>
        </w:rPr>
      </w:pPr>
      <w:r w:rsidRPr="006B0026">
        <w:rPr>
          <w:rFonts w:ascii="Calibri" w:hAnsi="Calibri" w:cstheme="majorHAnsi"/>
          <w:sz w:val="20"/>
          <w:szCs w:val="20"/>
        </w:rPr>
        <w:t>12.1.2. Causas de diminuição da pena, cada qual em 10%, dentre outras provadas pelo apenado:</w:t>
      </w:r>
    </w:p>
    <w:p w14:paraId="70D4FCC6"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12.1.2.1. Imediata comunicação do fato;</w:t>
      </w:r>
    </w:p>
    <w:p w14:paraId="35F22207"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12.1.2.2. Confissão;</w:t>
      </w:r>
    </w:p>
    <w:p w14:paraId="2510482D"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12.1.2.3. Diminuição do dano;</w:t>
      </w:r>
    </w:p>
    <w:p w14:paraId="7CADB3D2"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12.1.2.4. Reparação do prejuízo.</w:t>
      </w:r>
    </w:p>
    <w:p w14:paraId="2ED87873"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p>
    <w:p w14:paraId="4191A2AD" w14:textId="77777777" w:rsidR="00511E10" w:rsidRPr="006B0026" w:rsidRDefault="00511E10" w:rsidP="00511E10">
      <w:pPr>
        <w:pStyle w:val="NormalWeb"/>
        <w:spacing w:before="0" w:beforeAutospacing="0" w:after="0" w:afterAutospacing="0"/>
        <w:ind w:left="993" w:hanging="567"/>
        <w:jc w:val="both"/>
        <w:rPr>
          <w:rFonts w:ascii="Calibri" w:hAnsi="Calibri" w:cstheme="majorHAnsi"/>
          <w:sz w:val="20"/>
          <w:szCs w:val="20"/>
        </w:rPr>
      </w:pPr>
      <w:r w:rsidRPr="006B0026">
        <w:rPr>
          <w:rFonts w:ascii="Calibri" w:hAnsi="Calibri" w:cstheme="majorHAnsi"/>
          <w:sz w:val="20"/>
          <w:szCs w:val="20"/>
        </w:rPr>
        <w:t>12.2. Reincidência específica. O mesmo comportamento cometido perante a ANEEL nos precedentes 36 meses devidamente apurado e sancionado, independentemente da pena cominada importará:</w:t>
      </w:r>
    </w:p>
    <w:p w14:paraId="0B1AAAF5"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191D1FE5"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12.2.1. Aumento da cominada penalidade em 50% (cinquenta por cento), até o limite temporal de 60 (sessenta) meses; e</w:t>
      </w:r>
    </w:p>
    <w:p w14:paraId="0D5D5216"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12.2.2. Caso não haja sanção restritiva do direito de licitar, também importará a penalidade de suspensão temporária de participação em licitação e impedimento de contratar com a ANEEL por 24 meses.</w:t>
      </w:r>
    </w:p>
    <w:p w14:paraId="5022CAD1"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r w:rsidRPr="006B0026">
        <w:rPr>
          <w:rFonts w:ascii="Calibri" w:hAnsi="Calibri" w:cstheme="majorHAnsi"/>
          <w:sz w:val="20"/>
          <w:szCs w:val="20"/>
        </w:rPr>
        <w:t>12.3. Concurso de infrações.</w:t>
      </w:r>
    </w:p>
    <w:p w14:paraId="61CB8FF0" w14:textId="77777777" w:rsidR="00511E10" w:rsidRPr="006B0026" w:rsidRDefault="00511E10" w:rsidP="00511E10">
      <w:pPr>
        <w:pStyle w:val="NormalWeb"/>
        <w:spacing w:before="0" w:beforeAutospacing="0" w:after="0" w:afterAutospacing="0"/>
        <w:ind w:firstLine="708"/>
        <w:jc w:val="both"/>
        <w:rPr>
          <w:rFonts w:ascii="Calibri" w:hAnsi="Calibri" w:cstheme="majorHAnsi"/>
          <w:sz w:val="20"/>
          <w:szCs w:val="20"/>
        </w:rPr>
      </w:pPr>
    </w:p>
    <w:p w14:paraId="595DC620"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 xml:space="preserve">12.3.1. Concurso formal. Múltiplas infrações resultantes de uma mesma conduta, quer omissiva, quer comissiva. Cominando-se penas da mesma espécie, </w:t>
      </w:r>
      <w:proofErr w:type="gramStart"/>
      <w:r w:rsidRPr="006B0026">
        <w:rPr>
          <w:rFonts w:ascii="Calibri" w:hAnsi="Calibri" w:cstheme="majorHAnsi"/>
          <w:sz w:val="20"/>
          <w:szCs w:val="20"/>
        </w:rPr>
        <w:t>as mesmas</w:t>
      </w:r>
      <w:proofErr w:type="gramEnd"/>
      <w:r w:rsidRPr="006B0026">
        <w:rPr>
          <w:rFonts w:ascii="Calibri" w:hAnsi="Calibri" w:cstheme="majorHAnsi"/>
          <w:sz w:val="20"/>
          <w:szCs w:val="20"/>
        </w:rPr>
        <w:t xml:space="preserve"> são somadas e após se reduz da pena unificada percentual de 30% para cada infração.</w:t>
      </w:r>
    </w:p>
    <w:p w14:paraId="7D868E97"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p>
    <w:p w14:paraId="2E19364F"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r w:rsidRPr="006B0026">
        <w:rPr>
          <w:rFonts w:ascii="Calibri" w:hAnsi="Calibri" w:cstheme="majorHAnsi"/>
          <w:sz w:val="20"/>
          <w:szCs w:val="20"/>
        </w:rPr>
        <w:t>12.3.2. Concurso material. Múltiplas infrações decorrentes de inúmeras condutas são punidas com a soma das penas de mesma espécie.</w:t>
      </w:r>
    </w:p>
    <w:p w14:paraId="18454D7E"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p>
    <w:p w14:paraId="35BA979E"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 xml:space="preserve">12.4. </w:t>
      </w:r>
      <w:r w:rsidRPr="006B0026">
        <w:rPr>
          <w:rFonts w:ascii="Calibri" w:hAnsi="Calibri" w:cstheme="majorHAnsi"/>
          <w:sz w:val="20"/>
          <w:szCs w:val="20"/>
        </w:rPr>
        <w:tab/>
        <w:t>As penalidades terão necessária publicidade e registro, sobretudo no SICAF; são independentes, podendo ser aplicadas isoladas ou cumulativamente, sem prejuízo de outras medidas cabíveis, no tocante à responsabilidade civil, penal e administrativa, tais quais:</w:t>
      </w:r>
    </w:p>
    <w:p w14:paraId="52574EC1"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12.4.1. Provocar a iniciativa do Ministério Público;</w:t>
      </w:r>
    </w:p>
    <w:p w14:paraId="7A753174"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12.4.2. Oficiar ao Tribunal de Contas da União, em face do artigo 46 da Lei nº 8.443/92;</w:t>
      </w:r>
    </w:p>
    <w:p w14:paraId="7CF72C31"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r w:rsidRPr="006B0026">
        <w:rPr>
          <w:rFonts w:ascii="Calibri" w:hAnsi="Calibri" w:cstheme="majorHAnsi"/>
          <w:sz w:val="20"/>
          <w:szCs w:val="20"/>
        </w:rPr>
        <w:t>12.4.3. Instaurar processos administrativos, em face da Lei nº 12.846/13.</w:t>
      </w:r>
    </w:p>
    <w:p w14:paraId="31675A26" w14:textId="77777777" w:rsidR="00511E10" w:rsidRPr="006B0026" w:rsidRDefault="00511E10" w:rsidP="00511E10">
      <w:pPr>
        <w:pStyle w:val="NormalWeb"/>
        <w:spacing w:before="0" w:beforeAutospacing="0" w:after="0" w:afterAutospacing="0"/>
        <w:ind w:left="1416"/>
        <w:jc w:val="both"/>
        <w:rPr>
          <w:rFonts w:ascii="Calibri" w:hAnsi="Calibri" w:cstheme="majorHAnsi"/>
          <w:sz w:val="20"/>
          <w:szCs w:val="20"/>
        </w:rPr>
      </w:pPr>
    </w:p>
    <w:p w14:paraId="64FA3181" w14:textId="77777777" w:rsidR="00511E10" w:rsidRPr="006B0026" w:rsidRDefault="00511E10" w:rsidP="00511E10">
      <w:pPr>
        <w:pStyle w:val="NormalWeb"/>
        <w:spacing w:before="0" w:beforeAutospacing="0" w:after="0" w:afterAutospacing="0"/>
        <w:ind w:left="1416" w:hanging="708"/>
        <w:jc w:val="both"/>
        <w:rPr>
          <w:rFonts w:ascii="Calibri" w:hAnsi="Calibri" w:cstheme="majorHAnsi"/>
          <w:sz w:val="20"/>
          <w:szCs w:val="20"/>
        </w:rPr>
      </w:pPr>
      <w:r w:rsidRPr="006B0026">
        <w:rPr>
          <w:rFonts w:ascii="Calibri" w:hAnsi="Calibri" w:cstheme="majorHAnsi"/>
          <w:sz w:val="20"/>
          <w:szCs w:val="20"/>
        </w:rPr>
        <w:t xml:space="preserve">12.5. </w:t>
      </w:r>
      <w:r w:rsidRPr="006B0026">
        <w:rPr>
          <w:rFonts w:ascii="Calibri" w:hAnsi="Calibri" w:cstheme="majorHAnsi"/>
          <w:sz w:val="20"/>
          <w:szCs w:val="20"/>
        </w:rPr>
        <w:tab/>
        <w:t>A aplicação de qualquer penalidade realizar-se-á em processo administrativo que assegurará o contraditório e a ampla defesa ao licitante/adjudicatário, observando-se o procedimento previsto na Lei nº 14.133, de 2021, e subsidiariamente na Lei nº 9.784, de 1999.</w:t>
      </w:r>
    </w:p>
    <w:p w14:paraId="6D4A0990" w14:textId="77777777" w:rsidR="00511E10" w:rsidRPr="006B0026" w:rsidRDefault="00511E10" w:rsidP="00511E10">
      <w:pPr>
        <w:pStyle w:val="NormalWeb"/>
        <w:spacing w:before="0" w:beforeAutospacing="0" w:after="0" w:afterAutospacing="0"/>
        <w:ind w:left="1416" w:hanging="708"/>
        <w:jc w:val="both"/>
        <w:rPr>
          <w:rFonts w:ascii="Calibri" w:hAnsi="Calibri" w:cstheme="majorHAnsi"/>
          <w:sz w:val="20"/>
          <w:szCs w:val="20"/>
        </w:rPr>
      </w:pPr>
    </w:p>
    <w:p w14:paraId="4C5DC223"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 xml:space="preserve">13. </w:t>
      </w:r>
      <w:r w:rsidRPr="006B0026">
        <w:rPr>
          <w:rFonts w:ascii="Calibri" w:hAnsi="Calibri" w:cstheme="majorHAnsi"/>
          <w:sz w:val="20"/>
          <w:szCs w:val="20"/>
        </w:rPr>
        <w:tab/>
        <w:t>A autoridade competente, na aplicação das sanções, julgará as justificativas arguidas, levando em consideração o princípio da proporcionalidade, a gravidade da conduta do infrator, o caráter educativo da pena e o dano causado à Administração, embora não se confundam a responsabilidade civil com a administrativa, observado o princípio da proporcionalidade, a natureza e a gravidade da infração cometida, as peculiaridades do caso concreto, as circunstâncias agravantes ou atenuantes, os danos que dela provierem para a Administração Pública, a implantação ou o aperfeiçoamento de programa de integridade, conforme normas e orientações dos órgãos de controle.</w:t>
      </w:r>
    </w:p>
    <w:p w14:paraId="43ED970D"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0CC89B80"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14.     Sem prejuízo do andamento do processo de apuração da infração, o instrumento contratual – consideradas a urgência da necessidade pública e a gravidade da conduta apurada - poderá ter sua vigência iniciada; finda a apuração e confirmada a hipótese de condenação administrativa, o ajuste, se vigente, estará sujeito à rescisão unilateral/cancelamento.</w:t>
      </w:r>
    </w:p>
    <w:p w14:paraId="070245CF" w14:textId="77777777" w:rsidR="00511E10" w:rsidRPr="006B0026" w:rsidRDefault="00511E10" w:rsidP="00511E10">
      <w:pPr>
        <w:pStyle w:val="NormalWeb"/>
        <w:spacing w:before="0" w:beforeAutospacing="0" w:after="0" w:afterAutospacing="0"/>
        <w:jc w:val="both"/>
        <w:rPr>
          <w:rFonts w:ascii="Calibri" w:hAnsi="Calibri" w:cstheme="majorHAnsi"/>
          <w:sz w:val="20"/>
          <w:szCs w:val="20"/>
        </w:rPr>
      </w:pPr>
    </w:p>
    <w:p w14:paraId="7D3CD489"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 xml:space="preserve">14.1. </w:t>
      </w:r>
      <w:r w:rsidRPr="006B0026">
        <w:rPr>
          <w:rFonts w:ascii="Calibri" w:hAnsi="Calibri" w:cstheme="majorHAnsi"/>
          <w:sz w:val="20"/>
          <w:szCs w:val="20"/>
        </w:rPr>
        <w:tab/>
        <w:t>Os valores das multas consistem em créditos a serem recolhidos no prazo e forma legal, resguardados atos de cobrança e execução, administrativa e judicial, na forma sequencial e prioritária de compensação, retenção e dedução dos pagamentos devidos pela Administração; pagamento mediante Guia de Recolhimento da União – GRU; desconto do valor da garantia prestada.</w:t>
      </w:r>
    </w:p>
    <w:p w14:paraId="21B290C5"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p>
    <w:p w14:paraId="5A6898ED"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14.1.1. É possível, ad cautelam, a retenção do valor da multa presumida antes da instauração do regular procedimento administrativo.</w:t>
      </w:r>
    </w:p>
    <w:p w14:paraId="79BFA13F"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p>
    <w:p w14:paraId="4799F655"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 xml:space="preserve">14.2. </w:t>
      </w:r>
      <w:r w:rsidRPr="006B0026">
        <w:rPr>
          <w:rFonts w:ascii="Calibri" w:hAnsi="Calibri" w:cstheme="majorHAnsi"/>
          <w:sz w:val="20"/>
          <w:szCs w:val="20"/>
        </w:rPr>
        <w:tab/>
        <w:t>As comunicações e documentos afetos aos processos de apuração de responsabilidade administrativa podem ser remetidos via eletrônica ao e-mail da parte apurada constante de cadastros oficiais, tanto da pessoa jurídica apurada, quanto dos seus sócios, dirigentes e administradores, notadamente o SICAF, assegurado e certificado o envio e o recebimento da notificação eletrônica, como definida na Resolução ANEEL nº 804/2018 e normativas que se seguirem.</w:t>
      </w:r>
    </w:p>
    <w:p w14:paraId="788BEBE0"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p>
    <w:p w14:paraId="2AE4D7C7"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14.3. </w:t>
      </w:r>
      <w:r w:rsidRPr="006B0026">
        <w:rPr>
          <w:rFonts w:ascii="Calibri" w:hAnsi="Calibri" w:cstheme="majorHAnsi"/>
          <w:sz w:val="20"/>
          <w:szCs w:val="20"/>
        </w:rPr>
        <w:tab/>
        <w:t>Nos Pregões eletrônicos, considerando o dever de o licitante acompanhar o certame até o encerramento final de sua sessão, é válido e deve ocorrer de forma preferencial o ato do Pregoeiro que identifica as condutas de licitantes como possíveis infrações administrativas.</w:t>
      </w:r>
    </w:p>
    <w:p w14:paraId="2836BA3F"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r w:rsidRPr="006B0026">
        <w:rPr>
          <w:rFonts w:ascii="Calibri" w:hAnsi="Calibri" w:cstheme="majorHAnsi"/>
          <w:sz w:val="20"/>
          <w:szCs w:val="20"/>
        </w:rPr>
        <w:t>14.3.1. O ato de identificação será aposto na plataforma onde transcorre a licitação, valendo-se como regular comunicação do apurado, preferencialmente após a aceitação da(s) proposta(s) vencedora(s)</w:t>
      </w:r>
    </w:p>
    <w:p w14:paraId="5693CB44"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p>
    <w:p w14:paraId="7EE9DB5F"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r w:rsidRPr="006B0026">
        <w:rPr>
          <w:rFonts w:ascii="Calibri" w:hAnsi="Calibri" w:cstheme="majorHAnsi"/>
          <w:sz w:val="20"/>
          <w:szCs w:val="20"/>
        </w:rPr>
        <w:t>14.3.2. Após a mencionada identificação, inicia-se, no primeiro dia útil subsequente, o prazo de cinco dias úteis para que o interessado, desejando, apresente manifestação preliminar.</w:t>
      </w:r>
    </w:p>
    <w:p w14:paraId="6C91CC63"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p>
    <w:p w14:paraId="305ADBFD"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r w:rsidRPr="006B0026">
        <w:rPr>
          <w:rFonts w:ascii="Calibri" w:hAnsi="Calibri" w:cstheme="majorHAnsi"/>
          <w:sz w:val="20"/>
          <w:szCs w:val="20"/>
        </w:rPr>
        <w:t xml:space="preserve">14.3.2.1. O protocolo da peça e demais afetas ao processo de apuração de responsabilidade administrativa deve ser em via original na ANEEL em meio físico ou, havendo assinatura digital (token), pelo Protocolo Digital (instruções em </w:t>
      </w:r>
      <w:hyperlink r:id="rId13" w:history="1">
        <w:r w:rsidRPr="006B0026">
          <w:rPr>
            <w:rStyle w:val="Hyperlink"/>
            <w:rFonts w:ascii="Calibri" w:hAnsi="Calibri" w:cstheme="majorHAnsi"/>
            <w:color w:val="auto"/>
            <w:sz w:val="20"/>
            <w:szCs w:val="20"/>
          </w:rPr>
          <w:t>http://www.aneel.gov.br/protocolo-digital</w:t>
        </w:r>
      </w:hyperlink>
      <w:r w:rsidRPr="006B0026">
        <w:rPr>
          <w:rFonts w:ascii="Calibri" w:hAnsi="Calibri" w:cstheme="majorHAnsi"/>
          <w:sz w:val="20"/>
          <w:szCs w:val="20"/>
        </w:rPr>
        <w:t>).</w:t>
      </w:r>
    </w:p>
    <w:p w14:paraId="28B653A6"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p>
    <w:p w14:paraId="75B3DFDE" w14:textId="77777777" w:rsidR="00511E10" w:rsidRPr="006B0026" w:rsidRDefault="00511E10" w:rsidP="00511E10">
      <w:pPr>
        <w:pStyle w:val="NormalWeb"/>
        <w:spacing w:before="0" w:beforeAutospacing="0" w:after="0" w:afterAutospacing="0"/>
        <w:ind w:left="2269" w:firstLine="708"/>
        <w:jc w:val="both"/>
        <w:rPr>
          <w:rFonts w:ascii="Calibri" w:hAnsi="Calibri" w:cstheme="majorHAnsi"/>
          <w:sz w:val="20"/>
          <w:szCs w:val="20"/>
        </w:rPr>
      </w:pPr>
      <w:r w:rsidRPr="006B0026">
        <w:rPr>
          <w:rFonts w:ascii="Calibri" w:hAnsi="Calibri" w:cstheme="majorHAnsi"/>
          <w:sz w:val="20"/>
          <w:szCs w:val="20"/>
        </w:rPr>
        <w:t>14.3.2.1.1. É possível apresentação condicional de cópia.</w:t>
      </w:r>
    </w:p>
    <w:p w14:paraId="10A03C51" w14:textId="77777777" w:rsidR="00511E10" w:rsidRPr="006B0026" w:rsidRDefault="00511E10" w:rsidP="00511E10">
      <w:pPr>
        <w:pStyle w:val="NormalWeb"/>
        <w:spacing w:before="0" w:beforeAutospacing="0" w:after="0" w:afterAutospacing="0"/>
        <w:ind w:left="4820" w:hanging="1280"/>
        <w:jc w:val="both"/>
        <w:rPr>
          <w:rFonts w:ascii="Calibri" w:hAnsi="Calibri" w:cstheme="majorHAnsi"/>
          <w:sz w:val="20"/>
          <w:szCs w:val="20"/>
        </w:rPr>
      </w:pPr>
      <w:r w:rsidRPr="006B0026">
        <w:rPr>
          <w:rFonts w:ascii="Calibri" w:hAnsi="Calibri" w:cstheme="majorHAnsi"/>
          <w:sz w:val="20"/>
          <w:szCs w:val="20"/>
        </w:rPr>
        <w:t>14.3.2.1.1.1. A remessa de cópia pode ocorrer no prazo legal, por fax (61.2192-8882), protocolo digital sem assinatura digital ou remetida ao e-mail, correio eletrônico apuraresp@aneel.gov.br.</w:t>
      </w:r>
    </w:p>
    <w:p w14:paraId="6E369BDB" w14:textId="77777777" w:rsidR="00511E10" w:rsidRPr="006B0026" w:rsidRDefault="00511E10" w:rsidP="00511E10">
      <w:pPr>
        <w:pStyle w:val="NormalWeb"/>
        <w:spacing w:before="0" w:beforeAutospacing="0" w:after="0" w:afterAutospacing="0"/>
        <w:ind w:left="4820" w:hanging="1280"/>
        <w:jc w:val="both"/>
        <w:rPr>
          <w:rFonts w:ascii="Calibri" w:hAnsi="Calibri" w:cstheme="majorHAnsi"/>
          <w:sz w:val="20"/>
          <w:szCs w:val="20"/>
        </w:rPr>
      </w:pPr>
      <w:r w:rsidRPr="006B0026">
        <w:rPr>
          <w:rFonts w:ascii="Calibri" w:hAnsi="Calibri" w:cstheme="majorHAnsi"/>
          <w:sz w:val="20"/>
          <w:szCs w:val="20"/>
        </w:rPr>
        <w:t>14.3.2.1.1.2. Todas as hipóteses de apresentação de cópia exigem, necessariamente, o protocolo das vias originais em até 5 dias do fim do prazo.</w:t>
      </w:r>
    </w:p>
    <w:p w14:paraId="400615BF" w14:textId="77777777" w:rsidR="00511E10" w:rsidRPr="006B0026" w:rsidRDefault="00511E10" w:rsidP="00511E10">
      <w:pPr>
        <w:pStyle w:val="NormalWeb"/>
        <w:spacing w:before="0" w:beforeAutospacing="0" w:after="0" w:afterAutospacing="0"/>
        <w:ind w:left="6521" w:hanging="1701"/>
        <w:jc w:val="both"/>
        <w:rPr>
          <w:rFonts w:ascii="Calibri" w:hAnsi="Calibri" w:cstheme="majorHAnsi"/>
          <w:sz w:val="20"/>
          <w:szCs w:val="20"/>
        </w:rPr>
      </w:pPr>
      <w:r w:rsidRPr="006B0026">
        <w:rPr>
          <w:rFonts w:ascii="Calibri" w:hAnsi="Calibri" w:cstheme="majorHAnsi"/>
          <w:sz w:val="20"/>
          <w:szCs w:val="20"/>
        </w:rPr>
        <w:t xml:space="preserve">14.3.2.1.1.2.1.  </w:t>
      </w:r>
      <w:r w:rsidRPr="006B0026">
        <w:rPr>
          <w:rFonts w:ascii="Calibri" w:hAnsi="Calibri" w:cstheme="majorHAnsi"/>
          <w:sz w:val="20"/>
          <w:szCs w:val="20"/>
        </w:rPr>
        <w:tab/>
        <w:t>O prazo inicial para apresentação da via original se origina no dia imediatamente</w:t>
      </w:r>
    </w:p>
    <w:p w14:paraId="447D1D86" w14:textId="77777777" w:rsidR="00511E10" w:rsidRPr="006B0026" w:rsidRDefault="00511E10" w:rsidP="00511E10">
      <w:pPr>
        <w:pStyle w:val="NormalWeb"/>
        <w:spacing w:before="0" w:beforeAutospacing="0" w:after="0" w:afterAutospacing="0"/>
        <w:ind w:left="6521"/>
        <w:jc w:val="both"/>
        <w:rPr>
          <w:rFonts w:ascii="Calibri" w:hAnsi="Calibri" w:cstheme="majorHAnsi"/>
          <w:sz w:val="20"/>
          <w:szCs w:val="20"/>
        </w:rPr>
      </w:pPr>
      <w:r w:rsidRPr="006B0026">
        <w:rPr>
          <w:rFonts w:ascii="Calibri" w:hAnsi="Calibri" w:cstheme="majorHAnsi"/>
          <w:sz w:val="20"/>
          <w:szCs w:val="20"/>
        </w:rPr>
        <w:t>subsequente, útil ou não, ao fim do prazo para validamente ocorrer o ato de apresentação.</w:t>
      </w:r>
    </w:p>
    <w:p w14:paraId="0EE26F0E" w14:textId="77777777" w:rsidR="00511E10" w:rsidRPr="006B0026" w:rsidRDefault="00511E10" w:rsidP="00511E10">
      <w:pPr>
        <w:pStyle w:val="NormalWeb"/>
        <w:spacing w:before="0" w:beforeAutospacing="0" w:after="0" w:afterAutospacing="0"/>
        <w:ind w:left="6521"/>
        <w:jc w:val="both"/>
        <w:rPr>
          <w:rFonts w:ascii="Calibri" w:hAnsi="Calibri" w:cstheme="majorHAnsi"/>
          <w:sz w:val="20"/>
          <w:szCs w:val="20"/>
        </w:rPr>
      </w:pPr>
    </w:p>
    <w:p w14:paraId="1FCB299B"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r w:rsidRPr="006B0026">
        <w:rPr>
          <w:rFonts w:ascii="Calibri" w:hAnsi="Calibri" w:cstheme="majorHAnsi"/>
          <w:sz w:val="20"/>
          <w:szCs w:val="20"/>
        </w:rPr>
        <w:t>14.3.3. Após o transcurso do aludido prazo, com ou sem a resposta do licitante apurado, a autoridade superior deliberará a abertura de processo administrativo para apurar e eventualmente penalizar conduta ilícita administrativa do licitante no transcurso licitatório.</w:t>
      </w:r>
    </w:p>
    <w:p w14:paraId="5007D7A7" w14:textId="77777777" w:rsidR="00511E10" w:rsidRPr="006B0026" w:rsidRDefault="00511E10" w:rsidP="00511E10">
      <w:pPr>
        <w:pStyle w:val="NormalWeb"/>
        <w:spacing w:before="0" w:beforeAutospacing="0" w:after="0" w:afterAutospacing="0"/>
        <w:ind w:left="2127" w:hanging="709"/>
        <w:jc w:val="both"/>
        <w:rPr>
          <w:rFonts w:ascii="Calibri" w:hAnsi="Calibri" w:cstheme="majorHAnsi"/>
          <w:sz w:val="20"/>
          <w:szCs w:val="20"/>
        </w:rPr>
      </w:pPr>
    </w:p>
    <w:p w14:paraId="57E91249"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r w:rsidRPr="006B0026">
        <w:rPr>
          <w:rFonts w:ascii="Calibri" w:hAnsi="Calibri" w:cstheme="majorHAnsi"/>
          <w:sz w:val="20"/>
          <w:szCs w:val="20"/>
        </w:rPr>
        <w:t>14.3.3.1. Havendo manifestação prévia, os seus fundamentos serão levados em conta para  identificar manifesta falta de pressuposto processual.</w:t>
      </w:r>
    </w:p>
    <w:p w14:paraId="236F5496" w14:textId="77777777" w:rsidR="00511E10" w:rsidRPr="006B0026" w:rsidRDefault="00511E10" w:rsidP="00511E10">
      <w:pPr>
        <w:pStyle w:val="NormalWeb"/>
        <w:spacing w:before="0" w:beforeAutospacing="0" w:after="0" w:afterAutospacing="0"/>
        <w:ind w:left="2977" w:hanging="850"/>
        <w:jc w:val="both"/>
        <w:rPr>
          <w:rFonts w:ascii="Calibri" w:hAnsi="Calibri" w:cstheme="majorHAnsi"/>
          <w:sz w:val="20"/>
          <w:szCs w:val="20"/>
        </w:rPr>
      </w:pPr>
    </w:p>
    <w:p w14:paraId="010CBEB6" w14:textId="77777777" w:rsidR="00511E10" w:rsidRPr="006B0026" w:rsidRDefault="00511E10" w:rsidP="00511E10">
      <w:pPr>
        <w:pStyle w:val="NormalWeb"/>
        <w:spacing w:before="0" w:beforeAutospacing="0" w:after="0" w:afterAutospacing="0"/>
        <w:ind w:left="2977" w:hanging="853"/>
        <w:jc w:val="both"/>
        <w:rPr>
          <w:rFonts w:ascii="Calibri" w:hAnsi="Calibri" w:cstheme="majorHAnsi"/>
          <w:sz w:val="20"/>
          <w:szCs w:val="20"/>
        </w:rPr>
      </w:pPr>
      <w:r w:rsidRPr="006B0026">
        <w:rPr>
          <w:rFonts w:ascii="Calibri" w:hAnsi="Calibri" w:cstheme="majorHAnsi"/>
          <w:sz w:val="20"/>
          <w:szCs w:val="20"/>
        </w:rPr>
        <w:t>14.3.3.2. Na eventualidade de o licitante ter aposto no sistema onde transcorre o Pregão Eletrônico a intenção de recurso face a sua exclusão ou para atacar a recusa da proposta que ofertou, as apresentadas razões de recurso serão consideradas para a abertura de processo administrativo para apurar e eventualmente penalizar conduta ilícita administrativa do licitante no transcurso licitatório.</w:t>
      </w:r>
    </w:p>
    <w:p w14:paraId="60FCF2C7" w14:textId="77777777" w:rsidR="00511E10" w:rsidRPr="006B0026" w:rsidRDefault="00511E10" w:rsidP="00511E10">
      <w:pPr>
        <w:pStyle w:val="NormalWeb"/>
        <w:spacing w:before="0" w:beforeAutospacing="0" w:after="0" w:afterAutospacing="0"/>
        <w:ind w:left="2977" w:hanging="853"/>
        <w:jc w:val="both"/>
        <w:rPr>
          <w:rFonts w:ascii="Calibri" w:hAnsi="Calibri" w:cstheme="majorHAnsi"/>
          <w:sz w:val="20"/>
          <w:szCs w:val="20"/>
        </w:rPr>
      </w:pPr>
    </w:p>
    <w:p w14:paraId="62FAB201" w14:textId="77777777" w:rsidR="00511E10" w:rsidRPr="006B0026" w:rsidRDefault="00511E10" w:rsidP="00511E10">
      <w:pPr>
        <w:pStyle w:val="NormalWeb"/>
        <w:spacing w:before="0" w:beforeAutospacing="0" w:after="0" w:afterAutospacing="0"/>
        <w:ind w:left="2269" w:firstLine="708"/>
        <w:jc w:val="both"/>
        <w:rPr>
          <w:rFonts w:ascii="Calibri" w:hAnsi="Calibri" w:cstheme="majorHAnsi"/>
          <w:sz w:val="20"/>
          <w:szCs w:val="20"/>
        </w:rPr>
      </w:pPr>
      <w:r w:rsidRPr="006B0026">
        <w:rPr>
          <w:rFonts w:ascii="Calibri" w:hAnsi="Calibri" w:cstheme="majorHAnsi"/>
          <w:sz w:val="20"/>
          <w:szCs w:val="20"/>
        </w:rPr>
        <w:t>14.3.3.2.1. Destaca-se que não se confundem os expedientes:</w:t>
      </w:r>
    </w:p>
    <w:p w14:paraId="468BC361" w14:textId="77777777" w:rsidR="00511E10" w:rsidRPr="006B0026" w:rsidRDefault="00511E10" w:rsidP="00511E10">
      <w:pPr>
        <w:pStyle w:val="NormalWeb"/>
        <w:spacing w:before="0" w:beforeAutospacing="0" w:after="0" w:afterAutospacing="0"/>
        <w:ind w:left="2269" w:firstLine="708"/>
        <w:jc w:val="both"/>
        <w:rPr>
          <w:rFonts w:ascii="Calibri" w:hAnsi="Calibri" w:cstheme="majorHAnsi"/>
          <w:sz w:val="20"/>
          <w:szCs w:val="20"/>
        </w:rPr>
      </w:pPr>
    </w:p>
    <w:p w14:paraId="7AD3331B" w14:textId="77777777" w:rsidR="00511E10" w:rsidRPr="006B0026" w:rsidRDefault="00511E10" w:rsidP="00511E10">
      <w:pPr>
        <w:pStyle w:val="NormalWeb"/>
        <w:spacing w:before="0" w:beforeAutospacing="0" w:after="0" w:afterAutospacing="0"/>
        <w:ind w:left="4962" w:hanging="1276"/>
        <w:jc w:val="both"/>
        <w:rPr>
          <w:rFonts w:ascii="Calibri" w:hAnsi="Calibri" w:cstheme="majorHAnsi"/>
          <w:sz w:val="20"/>
          <w:szCs w:val="20"/>
        </w:rPr>
      </w:pPr>
      <w:r w:rsidRPr="006B0026">
        <w:rPr>
          <w:rFonts w:ascii="Calibri" w:hAnsi="Calibri" w:cstheme="majorHAnsi"/>
          <w:sz w:val="20"/>
          <w:szCs w:val="20"/>
        </w:rPr>
        <w:t>14.3.3.2.1.1. Relacionados com a recusa da proposta e a desclassificação do licitante, a exemplo da intenção de recurso registrada no sistema do Pregão Eletrônico e a apresentação das razões recursais; o juízo de reconsideração pelo Pregoeiro e a análise do recurso pela autoridade;</w:t>
      </w:r>
    </w:p>
    <w:p w14:paraId="135C8EF8" w14:textId="77777777" w:rsidR="00511E10" w:rsidRPr="006B0026" w:rsidRDefault="00511E10" w:rsidP="00511E10">
      <w:pPr>
        <w:pStyle w:val="NormalWeb"/>
        <w:spacing w:before="0" w:beforeAutospacing="0" w:after="0" w:afterAutospacing="0"/>
        <w:ind w:left="4962" w:hanging="1276"/>
        <w:jc w:val="both"/>
        <w:rPr>
          <w:rFonts w:ascii="Calibri" w:hAnsi="Calibri" w:cstheme="majorHAnsi"/>
          <w:sz w:val="20"/>
          <w:szCs w:val="20"/>
        </w:rPr>
      </w:pPr>
      <w:r w:rsidRPr="006B0026">
        <w:rPr>
          <w:rFonts w:ascii="Calibri" w:hAnsi="Calibri" w:cstheme="majorHAnsi"/>
          <w:sz w:val="20"/>
          <w:szCs w:val="20"/>
        </w:rPr>
        <w:t>14.3.3.2.1.2.  Relacionados com eventual infração administrativa do licitante no transcurso do Pregão Eletrônico, a exemplo do ato do Pregoeiro que a identifica; defesa prévia pelo licitante; abertura de processo administrativo para apurar e eventualmente penalizar eventual conduta ilícita administrativa do licitante no transcurso licitatório pela autoridade.</w:t>
      </w:r>
    </w:p>
    <w:p w14:paraId="60E572D2" w14:textId="77777777" w:rsidR="00511E10" w:rsidRPr="006B0026" w:rsidRDefault="00511E10" w:rsidP="00511E10">
      <w:pPr>
        <w:pStyle w:val="NormalWeb"/>
        <w:spacing w:before="0" w:beforeAutospacing="0" w:after="0" w:afterAutospacing="0"/>
        <w:ind w:left="4962" w:hanging="1276"/>
        <w:jc w:val="both"/>
        <w:rPr>
          <w:rFonts w:ascii="Calibri" w:hAnsi="Calibri" w:cstheme="majorHAnsi"/>
          <w:sz w:val="20"/>
          <w:szCs w:val="20"/>
        </w:rPr>
      </w:pPr>
    </w:p>
    <w:p w14:paraId="5D72BB01" w14:textId="77777777" w:rsidR="00511E10" w:rsidRPr="006B0026" w:rsidRDefault="00511E10" w:rsidP="00511E10">
      <w:pPr>
        <w:pStyle w:val="NormalWeb"/>
        <w:spacing w:before="0" w:beforeAutospacing="0" w:after="0" w:afterAutospacing="0"/>
        <w:ind w:left="2127" w:hanging="711"/>
        <w:jc w:val="both"/>
        <w:rPr>
          <w:rFonts w:ascii="Calibri" w:hAnsi="Calibri" w:cstheme="majorHAnsi"/>
          <w:sz w:val="20"/>
          <w:szCs w:val="20"/>
        </w:rPr>
      </w:pPr>
      <w:r w:rsidRPr="006B0026">
        <w:rPr>
          <w:rFonts w:ascii="Calibri" w:hAnsi="Calibri" w:cstheme="majorHAnsi"/>
          <w:sz w:val="20"/>
          <w:szCs w:val="20"/>
        </w:rPr>
        <w:t>14.3.4. A abertura de processo administrativo para apurar e eventualmente penalizar conduta ilícita administrativa do licitante no transcurso licitatório não ocorrerá nas hipóteses devidamente justificadas de:</w:t>
      </w:r>
    </w:p>
    <w:p w14:paraId="157CF19A"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14.3.4.1. Flagrante regularidade da conduta identificada;</w:t>
      </w:r>
    </w:p>
    <w:p w14:paraId="754D6B6C"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r w:rsidRPr="006B0026">
        <w:rPr>
          <w:rFonts w:ascii="Calibri" w:hAnsi="Calibri" w:cstheme="majorHAnsi"/>
          <w:sz w:val="20"/>
          <w:szCs w:val="20"/>
        </w:rPr>
        <w:t>14.3.4.2. Patente causa que exclua a responsabilidade em tese apurada.</w:t>
      </w:r>
    </w:p>
    <w:p w14:paraId="361EFD34" w14:textId="77777777" w:rsidR="00511E10" w:rsidRPr="006B0026" w:rsidRDefault="00511E10" w:rsidP="00511E10">
      <w:pPr>
        <w:pStyle w:val="NormalWeb"/>
        <w:spacing w:before="0" w:beforeAutospacing="0" w:after="0" w:afterAutospacing="0"/>
        <w:ind w:left="2124"/>
        <w:jc w:val="both"/>
        <w:rPr>
          <w:rFonts w:ascii="Calibri" w:hAnsi="Calibri" w:cstheme="majorHAnsi"/>
          <w:sz w:val="20"/>
          <w:szCs w:val="20"/>
        </w:rPr>
      </w:pPr>
    </w:p>
    <w:p w14:paraId="5DE48E2D"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r w:rsidRPr="006B0026">
        <w:rPr>
          <w:rFonts w:ascii="Calibri" w:hAnsi="Calibri" w:cstheme="majorHAnsi"/>
          <w:sz w:val="20"/>
          <w:szCs w:val="20"/>
        </w:rPr>
        <w:t>14.3.5. Estando o feito em ordem, a autoridade proferirá decisão da qual cabe recurso administrativo à autoridade superior.</w:t>
      </w:r>
    </w:p>
    <w:p w14:paraId="242F4FD5" w14:textId="77777777" w:rsidR="00511E10" w:rsidRPr="006B0026" w:rsidRDefault="00511E10" w:rsidP="00511E10">
      <w:pPr>
        <w:pStyle w:val="NormalWeb"/>
        <w:spacing w:before="0" w:beforeAutospacing="0" w:after="0" w:afterAutospacing="0"/>
        <w:ind w:left="2124" w:hanging="706"/>
        <w:jc w:val="both"/>
        <w:rPr>
          <w:rFonts w:ascii="Calibri" w:hAnsi="Calibri" w:cstheme="majorHAnsi"/>
          <w:sz w:val="20"/>
          <w:szCs w:val="20"/>
        </w:rPr>
      </w:pPr>
    </w:p>
    <w:p w14:paraId="46165F0B" w14:textId="77777777" w:rsidR="00511E10" w:rsidRPr="006B0026" w:rsidRDefault="00511E10" w:rsidP="00511E10">
      <w:pPr>
        <w:pStyle w:val="NormalWeb"/>
        <w:spacing w:before="0" w:beforeAutospacing="0" w:after="0" w:afterAutospacing="0"/>
        <w:ind w:left="567" w:hanging="567"/>
        <w:jc w:val="both"/>
        <w:rPr>
          <w:rFonts w:ascii="Calibri" w:hAnsi="Calibri" w:cstheme="majorHAnsi"/>
          <w:sz w:val="20"/>
          <w:szCs w:val="20"/>
        </w:rPr>
      </w:pPr>
      <w:r w:rsidRPr="006B0026">
        <w:rPr>
          <w:rFonts w:ascii="Calibri" w:hAnsi="Calibri" w:cstheme="majorHAnsi"/>
          <w:sz w:val="20"/>
          <w:szCs w:val="20"/>
        </w:rPr>
        <w:t>15.    Serão envidados esforços, dentre outros aspectos procedimentais e sancionatórios, em conformidade aos preceitos da Lei 14.133/31 e à sua principiologia, considerando, ademais, a impossibilidade de predeterminação da eventual sanção e da caracterização do ilícito, no processo de apuração de responsabilidade administrativa, inclusive prazos, embora impróprios e não peremptórios para a Administração, as seguintes orientações/boas práticas:</w:t>
      </w:r>
    </w:p>
    <w:p w14:paraId="6348F978" w14:textId="77777777" w:rsidR="00511E10" w:rsidRPr="006B0026" w:rsidRDefault="00511E10" w:rsidP="00511E10">
      <w:pPr>
        <w:pStyle w:val="NormalWeb"/>
        <w:spacing w:before="0" w:beforeAutospacing="0" w:after="0" w:afterAutospacing="0"/>
        <w:ind w:left="426" w:hanging="426"/>
        <w:jc w:val="both"/>
        <w:rPr>
          <w:rFonts w:ascii="Calibri" w:hAnsi="Calibri" w:cstheme="majorHAnsi"/>
          <w:sz w:val="20"/>
          <w:szCs w:val="20"/>
        </w:rPr>
      </w:pPr>
    </w:p>
    <w:p w14:paraId="01974D95"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    Considerando as diretivas do TCU, na dúvida acerca de possível infração, deve-se instaurar processo de apuração de responsabilidade administrativa; da mesma sorte em que aparente não haver infração ou não seja o caso de incidir pena, hipóteses que igualmente ensejam a instauração, processamento e julgamento em processo administrativo sancionatório; responsabilidade do sancionador, derivado do poder-dever punitivo, disciplinar, afeto à cláusula exorbitante, indisponibilidade e supremacia do interesse público;</w:t>
      </w:r>
    </w:p>
    <w:p w14:paraId="24881091"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15.2. </w:t>
      </w:r>
      <w:r w:rsidRPr="006B0026">
        <w:rPr>
          <w:rFonts w:ascii="Calibri" w:hAnsi="Calibri" w:cstheme="majorHAnsi"/>
          <w:sz w:val="20"/>
          <w:szCs w:val="20"/>
        </w:rPr>
        <w:tab/>
        <w:t>Defesa prévia no prazo de quinze dias úteis;</w:t>
      </w:r>
    </w:p>
    <w:p w14:paraId="12F05070"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15.3. </w:t>
      </w:r>
      <w:r w:rsidRPr="006B0026">
        <w:rPr>
          <w:rFonts w:ascii="Calibri" w:hAnsi="Calibri" w:cstheme="majorHAnsi"/>
          <w:sz w:val="20"/>
          <w:szCs w:val="20"/>
        </w:rPr>
        <w:tab/>
        <w:t>Cumulação da pena de multa às demais, na forma do art. 156 da Lei 14.133/21, especialmente, além da multa, as sanções impeditivas;</w:t>
      </w:r>
    </w:p>
    <w:p w14:paraId="284A9BCA"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15.4. </w:t>
      </w:r>
      <w:r w:rsidRPr="006B0026">
        <w:rPr>
          <w:rFonts w:ascii="Calibri" w:hAnsi="Calibri" w:cstheme="majorHAnsi"/>
          <w:sz w:val="20"/>
          <w:szCs w:val="20"/>
        </w:rPr>
        <w:tab/>
        <w:t>Pena mínima do impedimento de licitar e de contratar de seis meses;</w:t>
      </w:r>
    </w:p>
    <w:p w14:paraId="51474DF7"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15.5. </w:t>
      </w:r>
      <w:r w:rsidRPr="006B0026">
        <w:rPr>
          <w:rFonts w:ascii="Calibri" w:hAnsi="Calibri" w:cstheme="majorHAnsi"/>
          <w:sz w:val="20"/>
          <w:szCs w:val="20"/>
        </w:rPr>
        <w:tab/>
        <w:t>Na aplicação de penalidades, observância dos critérios do §1º do art. 156 da Lei 14.133/21 e das finalidades preventiva, educativa e repressiva, além de punitiva;</w:t>
      </w:r>
    </w:p>
    <w:p w14:paraId="3786DA0E"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15.6. </w:t>
      </w:r>
      <w:r w:rsidRPr="006B0026">
        <w:rPr>
          <w:rFonts w:ascii="Calibri" w:hAnsi="Calibri" w:cstheme="majorHAnsi"/>
          <w:sz w:val="20"/>
          <w:szCs w:val="20"/>
        </w:rPr>
        <w:tab/>
        <w:t>Advertência apenas hábil no curso contratual;</w:t>
      </w:r>
    </w:p>
    <w:p w14:paraId="4B681AA9"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15.7.  </w:t>
      </w:r>
      <w:r w:rsidRPr="006B0026">
        <w:rPr>
          <w:rFonts w:ascii="Calibri" w:hAnsi="Calibri" w:cstheme="majorHAnsi"/>
          <w:sz w:val="20"/>
          <w:szCs w:val="20"/>
        </w:rPr>
        <w:tab/>
        <w:t>Condução do processo por comissão formada por no mínimo dois servidores públicos estáveis;</w:t>
      </w:r>
    </w:p>
    <w:p w14:paraId="73D39B7C"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15.8. </w:t>
      </w:r>
      <w:r w:rsidRPr="006B0026">
        <w:rPr>
          <w:rFonts w:ascii="Calibri" w:hAnsi="Calibri" w:cstheme="majorHAnsi"/>
          <w:sz w:val="20"/>
          <w:szCs w:val="20"/>
        </w:rPr>
        <w:tab/>
        <w:t>Apresentação pela comissão processante de relatório conclusivo;</w:t>
      </w:r>
    </w:p>
    <w:p w14:paraId="1800D8F0"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15.9. </w:t>
      </w:r>
      <w:r w:rsidRPr="006B0026">
        <w:rPr>
          <w:rFonts w:ascii="Calibri" w:hAnsi="Calibri" w:cstheme="majorHAnsi"/>
          <w:sz w:val="20"/>
          <w:szCs w:val="20"/>
        </w:rPr>
        <w:tab/>
        <w:t>Relatório conclusivo enfrentando as principais razões de fato e de direito deduzidas na defesa, na situação em concreto sob análise, motivando acatamento ou não das razões de defesa e de recurso (hipótese de Nota Técnica em juízo de reconsideração);</w:t>
      </w:r>
    </w:p>
    <w:p w14:paraId="738F3072"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15.10. </w:t>
      </w:r>
      <w:r w:rsidRPr="006B0026">
        <w:rPr>
          <w:rFonts w:ascii="Calibri" w:hAnsi="Calibri" w:cstheme="majorHAnsi"/>
          <w:sz w:val="20"/>
          <w:szCs w:val="20"/>
        </w:rPr>
        <w:tab/>
        <w:t>Oportunidade de dedução de alegações finais no prazo de quinze dias uteis após relatório conclusivo;</w:t>
      </w:r>
    </w:p>
    <w:p w14:paraId="57428DA2"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15.11. </w:t>
      </w:r>
      <w:r w:rsidRPr="006B0026">
        <w:rPr>
          <w:rFonts w:ascii="Calibri" w:hAnsi="Calibri" w:cstheme="majorHAnsi"/>
          <w:sz w:val="20"/>
          <w:szCs w:val="20"/>
        </w:rPr>
        <w:tab/>
        <w:t>Proceder à consultoria de assessoria jurídica prévia à tomada de Decisão SGA;</w:t>
      </w:r>
    </w:p>
    <w:p w14:paraId="2F406262"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15.12.  Esforços pela comissão processante para minutar sugestão de Decisão SGA para a autoridade competente consoante a sua convicção, atendendo aos princípios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proporcionalidade, assim como as disposições do Decreto-Lei nº 4.657, de 4 de setembro de 1942 (Lei de Introdução às Normas do Direito Brasileiro);</w:t>
      </w:r>
    </w:p>
    <w:p w14:paraId="540B1DF8"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15.13.  Mesmo em caso de dispensa de licitação ou contratação direta, a necessidade de se comprovar a proposta mais vantajosa;</w:t>
      </w:r>
    </w:p>
    <w:p w14:paraId="4989A12A" w14:textId="77777777" w:rsidR="00511E10" w:rsidRPr="006B0026" w:rsidRDefault="00511E10" w:rsidP="00511E10">
      <w:pPr>
        <w:pStyle w:val="NormalWeb"/>
        <w:spacing w:before="0" w:beforeAutospacing="0" w:after="0" w:afterAutospacing="0"/>
        <w:ind w:left="709"/>
        <w:jc w:val="both"/>
        <w:rPr>
          <w:rFonts w:ascii="Calibri" w:hAnsi="Calibri" w:cstheme="majorHAnsi"/>
          <w:sz w:val="20"/>
          <w:szCs w:val="20"/>
        </w:rPr>
      </w:pPr>
      <w:r w:rsidRPr="006B0026">
        <w:rPr>
          <w:rFonts w:ascii="Calibri" w:hAnsi="Calibri" w:cstheme="majorHAnsi"/>
          <w:sz w:val="20"/>
          <w:szCs w:val="20"/>
        </w:rPr>
        <w:t xml:space="preserve">15.14. </w:t>
      </w:r>
      <w:r w:rsidRPr="006B0026">
        <w:rPr>
          <w:rFonts w:ascii="Calibri" w:hAnsi="Calibri" w:cstheme="majorHAnsi"/>
          <w:sz w:val="20"/>
          <w:szCs w:val="20"/>
        </w:rPr>
        <w:tab/>
        <w:t>Garantia do contraditório e da ampla defesa em vista da concretização do devido processo legal;</w:t>
      </w:r>
    </w:p>
    <w:p w14:paraId="3FF89B94"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15.15.  Prioridade às fases de instrução e executória diante da pluralidade de feitos a cargo da comissão processante;</w:t>
      </w:r>
    </w:p>
    <w:p w14:paraId="3F755601"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15.16. </w:t>
      </w:r>
      <w:r w:rsidRPr="006B0026">
        <w:rPr>
          <w:rFonts w:ascii="Calibri" w:hAnsi="Calibri" w:cstheme="majorHAnsi"/>
          <w:sz w:val="20"/>
          <w:szCs w:val="20"/>
        </w:rPr>
        <w:tab/>
        <w:t xml:space="preserve">Ofício à seguradora em caso de garantia securitária- aviso de expectativa de sinistro instruída com cópia da notificação inaugural; </w:t>
      </w:r>
    </w:p>
    <w:p w14:paraId="13714B05" w14:textId="77777777" w:rsidR="00511E10" w:rsidRPr="006B0026" w:rsidRDefault="00511E10" w:rsidP="00511E10">
      <w:pPr>
        <w:pStyle w:val="NormalWeb"/>
        <w:spacing w:before="0" w:beforeAutospacing="0" w:after="0" w:afterAutospacing="0"/>
        <w:ind w:left="1418" w:hanging="710"/>
        <w:jc w:val="both"/>
        <w:rPr>
          <w:rFonts w:ascii="Calibri" w:hAnsi="Calibri" w:cstheme="majorHAnsi"/>
          <w:sz w:val="20"/>
          <w:szCs w:val="20"/>
        </w:rPr>
      </w:pPr>
      <w:r w:rsidRPr="006B0026">
        <w:rPr>
          <w:rFonts w:ascii="Calibri" w:hAnsi="Calibri" w:cstheme="majorHAnsi"/>
          <w:sz w:val="20"/>
          <w:szCs w:val="20"/>
        </w:rPr>
        <w:t>15.17.  Uso dos meios céleres de comunicação, primeiramente notificação eletrônica, residualmente notificação à apurada endereçada em cadastros oficiais, notadamente SICAF e em caso de frustração em Imprensa Oficial;</w:t>
      </w:r>
    </w:p>
    <w:p w14:paraId="7C57AC72" w14:textId="77777777" w:rsidR="00511E10" w:rsidRPr="006B0026" w:rsidRDefault="00511E10" w:rsidP="00511E10">
      <w:pPr>
        <w:pStyle w:val="NormalWeb"/>
        <w:spacing w:before="0" w:beforeAutospacing="0" w:after="0" w:afterAutospacing="0"/>
        <w:ind w:left="1418" w:hanging="709"/>
        <w:jc w:val="both"/>
        <w:rPr>
          <w:rFonts w:ascii="Calibri" w:hAnsi="Calibri" w:cstheme="majorHAnsi"/>
          <w:sz w:val="20"/>
          <w:szCs w:val="20"/>
        </w:rPr>
      </w:pPr>
      <w:r w:rsidRPr="006B0026">
        <w:rPr>
          <w:rFonts w:ascii="Calibri" w:hAnsi="Calibri" w:cstheme="majorHAnsi"/>
          <w:sz w:val="20"/>
          <w:szCs w:val="20"/>
        </w:rPr>
        <w:t xml:space="preserve">15.18. </w:t>
      </w:r>
      <w:r w:rsidRPr="006B0026">
        <w:rPr>
          <w:rFonts w:ascii="Calibri" w:hAnsi="Calibri" w:cstheme="majorHAnsi"/>
          <w:sz w:val="20"/>
          <w:szCs w:val="20"/>
        </w:rPr>
        <w:tab/>
        <w:t>Efeito suspensivo diante da interposição recursal, a se realizar em quinze dias úteis, exceto face a pena de declaração de inidoneidade para licitar ou contratar, atacada por pedido de reconsideração no mesmo prazo;</w:t>
      </w:r>
    </w:p>
    <w:p w14:paraId="3DBEDF40" w14:textId="3FC4ECDF" w:rsidR="00511E10" w:rsidRPr="006B0026" w:rsidRDefault="00511E10" w:rsidP="00280CA4">
      <w:pPr>
        <w:pStyle w:val="NormalWeb"/>
        <w:spacing w:before="0" w:beforeAutospacing="0" w:after="0" w:afterAutospacing="0"/>
        <w:ind w:left="426" w:firstLine="283"/>
        <w:jc w:val="both"/>
        <w:rPr>
          <w:rFonts w:ascii="Calibri" w:hAnsi="Calibri" w:cstheme="majorHAnsi"/>
          <w:sz w:val="20"/>
          <w:szCs w:val="20"/>
        </w:rPr>
      </w:pPr>
      <w:r w:rsidRPr="006B0026">
        <w:rPr>
          <w:rFonts w:ascii="Calibri" w:hAnsi="Calibri" w:cstheme="majorHAnsi"/>
          <w:sz w:val="20"/>
          <w:szCs w:val="20"/>
        </w:rPr>
        <w:t xml:space="preserve">15.19. Inscrição das penas e publicidade </w:t>
      </w:r>
      <w:proofErr w:type="gramStart"/>
      <w:r w:rsidRPr="006B0026">
        <w:rPr>
          <w:rFonts w:ascii="Calibri" w:hAnsi="Calibri" w:cstheme="majorHAnsi"/>
          <w:sz w:val="20"/>
          <w:szCs w:val="20"/>
        </w:rPr>
        <w:t>das mesmas</w:t>
      </w:r>
      <w:proofErr w:type="gramEnd"/>
      <w:r w:rsidRPr="006B0026">
        <w:rPr>
          <w:rFonts w:ascii="Calibri" w:hAnsi="Calibri" w:cstheme="majorHAnsi"/>
          <w:sz w:val="20"/>
          <w:szCs w:val="20"/>
        </w:rPr>
        <w:t xml:space="preserve"> no prazo de quinze dias da sua estabilização.</w:t>
      </w:r>
    </w:p>
    <w:sectPr w:rsidR="00511E10" w:rsidRPr="006B0026" w:rsidSect="00D965F4">
      <w:headerReference w:type="default" r:id="rId14"/>
      <w:footerReference w:type="default" r:id="rId15"/>
      <w:pgSz w:w="11906" w:h="16838" w:code="9"/>
      <w:pgMar w:top="89" w:right="1134" w:bottom="1418" w:left="1134" w:header="7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B0EE9" w14:textId="77777777" w:rsidR="00A30541" w:rsidRDefault="00A30541">
      <w:r>
        <w:separator/>
      </w:r>
    </w:p>
  </w:endnote>
  <w:endnote w:type="continuationSeparator" w:id="0">
    <w:p w14:paraId="37D9F3E1" w14:textId="77777777" w:rsidR="00A30541" w:rsidRDefault="00A30541">
      <w:r>
        <w:continuationSeparator/>
      </w:r>
    </w:p>
  </w:endnote>
  <w:endnote w:type="continuationNotice" w:id="1">
    <w:p w14:paraId="717F9570" w14:textId="77777777" w:rsidR="00A30541" w:rsidRDefault="00A30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OpenSymbol">
    <w:altName w:val="Calibri"/>
    <w:charset w:val="00"/>
    <w:family w:val="auto"/>
    <w:pitch w:val="variable"/>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Theme="majorHAnsi" w:hAnsiTheme="majorHAnsi" w:cstheme="majorBidi"/>
      </w:rPr>
    </w:sdtEndPr>
    <w:sdtContent>
      <w:p w14:paraId="1D29B53F" w14:textId="34F85530" w:rsidR="008C7A3E" w:rsidRPr="00DD32CC" w:rsidRDefault="007B5385" w:rsidP="00E96341">
        <w:pPr>
          <w:pStyle w:val="Rodap"/>
          <w:rPr>
            <w:rFonts w:asciiTheme="majorHAnsi" w:hAnsiTheme="majorHAnsi" w:cstheme="majorHAnsi"/>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p>
      <w:p w14:paraId="10174F29" w14:textId="2F6A4945" w:rsidR="00DA23D9" w:rsidRPr="00DA23D9" w:rsidRDefault="00DA23D9" w:rsidP="00DA23D9">
        <w:pPr>
          <w:pStyle w:val="Rodap"/>
          <w:rPr>
            <w:rFonts w:asciiTheme="majorHAnsi" w:hAnsiTheme="majorHAnsi" w:cstheme="majorHAnsi"/>
            <w:sz w:val="12"/>
            <w:szCs w:val="12"/>
          </w:rPr>
        </w:pPr>
        <w:r w:rsidRPr="00DA23D9">
          <w:rPr>
            <w:rFonts w:asciiTheme="majorHAnsi" w:hAnsiTheme="majorHAnsi" w:cstheme="majorHAnsi"/>
            <w:sz w:val="12"/>
            <w:szCs w:val="12"/>
          </w:rPr>
          <w:tab/>
        </w:r>
      </w:p>
      <w:p w14:paraId="239342FA" w14:textId="7FB6EEDD" w:rsidR="00E96341" w:rsidRPr="00EA43F1" w:rsidRDefault="00A30541" w:rsidP="00EF4A41">
        <w:pPr>
          <w:pStyle w:val="Rodap"/>
          <w:rPr>
            <w:rFonts w:asciiTheme="majorHAnsi" w:hAnsiTheme="majorHAnsi" w:cstheme="majorHAnsi"/>
          </w:rPr>
        </w:pPr>
      </w:p>
    </w:sdtContent>
  </w:sdt>
  <w:p w14:paraId="7E6308F2" w14:textId="73E1414E" w:rsidR="00842420" w:rsidRPr="00842420" w:rsidRDefault="008424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08AE7" w14:textId="77777777" w:rsidR="00A30541" w:rsidRDefault="00A30541">
      <w:r>
        <w:separator/>
      </w:r>
    </w:p>
  </w:footnote>
  <w:footnote w:type="continuationSeparator" w:id="0">
    <w:p w14:paraId="2B00B537" w14:textId="77777777" w:rsidR="00A30541" w:rsidRDefault="00A30541">
      <w:r>
        <w:continuationSeparator/>
      </w:r>
    </w:p>
  </w:footnote>
  <w:footnote w:type="continuationNotice" w:id="1">
    <w:p w14:paraId="6366D063" w14:textId="77777777" w:rsidR="00A30541" w:rsidRDefault="00A30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413A" w14:textId="209B329F" w:rsidR="00DD32CC" w:rsidRDefault="00DD32CC" w:rsidP="00CC7D21">
    <w:pPr>
      <w:pStyle w:val="Cabealho"/>
      <w:jc w:val="right"/>
      <w:rPr>
        <w:rFonts w:asciiTheme="majorHAnsi" w:hAnsiTheme="majorHAnsi" w:cstheme="majorHAnsi"/>
        <w:sz w:val="20"/>
        <w:szCs w:val="20"/>
      </w:rPr>
    </w:pPr>
  </w:p>
  <w:p w14:paraId="3C3209AC" w14:textId="7CF1C970" w:rsidR="00D769A8" w:rsidRDefault="00BC41DB" w:rsidP="00CC7D21">
    <w:pPr>
      <w:pStyle w:val="Cabealho"/>
      <w:jc w:val="right"/>
      <w:rPr>
        <w:rFonts w:asciiTheme="majorHAnsi" w:hAnsiTheme="majorHAnsi" w:cstheme="majorHAnsi"/>
        <w:sz w:val="20"/>
        <w:szCs w:val="20"/>
      </w:rPr>
    </w:pPr>
    <w:r>
      <w:rPr>
        <w:noProof/>
      </w:rPr>
      <w:drawing>
        <wp:anchor distT="0" distB="0" distL="114300" distR="114300" simplePos="0" relativeHeight="251659264" behindDoc="0" locked="0" layoutInCell="1" allowOverlap="1" wp14:anchorId="02E6A813" wp14:editId="0C1C0F62">
          <wp:simplePos x="0" y="0"/>
          <wp:positionH relativeFrom="column">
            <wp:posOffset>1085850</wp:posOffset>
          </wp:positionH>
          <wp:positionV relativeFrom="paragraph">
            <wp:posOffset>64135</wp:posOffset>
          </wp:positionV>
          <wp:extent cx="3324225" cy="952500"/>
          <wp:effectExtent l="0" t="0" r="0" b="0"/>
          <wp:wrapNone/>
          <wp:docPr id="1161618442" name="Imagem 1"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4225" cy="952500"/>
                  </a:xfrm>
                  <a:prstGeom prst="rect">
                    <a:avLst/>
                  </a:prstGeom>
                  <a:noFill/>
                  <a:ln>
                    <a:noFill/>
                  </a:ln>
                </pic:spPr>
              </pic:pic>
            </a:graphicData>
          </a:graphic>
        </wp:anchor>
      </w:drawing>
    </w:r>
  </w:p>
  <w:p w14:paraId="1F876A8D" w14:textId="020C51F3" w:rsidR="00D769A8" w:rsidRDefault="00D769A8" w:rsidP="00CC7D21">
    <w:pPr>
      <w:pStyle w:val="Cabealho"/>
      <w:jc w:val="right"/>
      <w:rPr>
        <w:rFonts w:asciiTheme="majorHAnsi" w:hAnsiTheme="majorHAnsi" w:cstheme="majorHAnsi"/>
        <w:sz w:val="20"/>
        <w:szCs w:val="20"/>
      </w:rPr>
    </w:pPr>
  </w:p>
  <w:p w14:paraId="4D249B33" w14:textId="35D1911D" w:rsidR="00D769A8" w:rsidRDefault="00D769A8" w:rsidP="00CC7D21">
    <w:pPr>
      <w:pStyle w:val="Cabealho"/>
      <w:jc w:val="right"/>
      <w:rPr>
        <w:rFonts w:asciiTheme="majorHAnsi" w:hAnsiTheme="majorHAnsi" w:cstheme="majorHAnsi"/>
        <w:sz w:val="20"/>
        <w:szCs w:val="20"/>
      </w:rPr>
    </w:pPr>
  </w:p>
  <w:p w14:paraId="4D8A3285" w14:textId="249F3A99" w:rsidR="00D769A8" w:rsidRDefault="00D769A8" w:rsidP="00CC7D21">
    <w:pPr>
      <w:pStyle w:val="Cabealho"/>
      <w:jc w:val="right"/>
      <w:rPr>
        <w:rFonts w:asciiTheme="majorHAnsi" w:hAnsiTheme="majorHAnsi" w:cstheme="majorHAnsi"/>
        <w:sz w:val="20"/>
        <w:szCs w:val="20"/>
      </w:rPr>
    </w:pPr>
  </w:p>
  <w:p w14:paraId="0DA31157" w14:textId="4484FD58" w:rsidR="00D769A8" w:rsidRDefault="00D769A8" w:rsidP="00CC7D21">
    <w:pPr>
      <w:pStyle w:val="Cabealho"/>
      <w:jc w:val="right"/>
      <w:rPr>
        <w:rFonts w:asciiTheme="majorHAnsi" w:hAnsiTheme="majorHAnsi" w:cstheme="majorHAnsi"/>
        <w:sz w:val="20"/>
        <w:szCs w:val="20"/>
      </w:rPr>
    </w:pPr>
  </w:p>
  <w:p w14:paraId="0D4C3676" w14:textId="2F95656B" w:rsidR="00D769A8" w:rsidRDefault="00D769A8" w:rsidP="00CC7D21">
    <w:pPr>
      <w:pStyle w:val="Cabealho"/>
      <w:jc w:val="right"/>
      <w:rPr>
        <w:rFonts w:asciiTheme="majorHAnsi" w:hAnsiTheme="majorHAnsi" w:cstheme="majorHAnsi"/>
        <w:sz w:val="20"/>
        <w:szCs w:val="20"/>
      </w:rPr>
    </w:pPr>
  </w:p>
  <w:p w14:paraId="743C1A78" w14:textId="77777777" w:rsidR="00D769A8" w:rsidRDefault="00D769A8" w:rsidP="00CC7D21">
    <w:pPr>
      <w:pStyle w:val="Cabealho"/>
      <w:jc w:val="right"/>
      <w:rPr>
        <w:rFonts w:asciiTheme="majorHAnsi" w:hAnsiTheme="majorHAnsi" w:cstheme="majorHAnsi"/>
        <w:sz w:val="20"/>
        <w:szCs w:val="20"/>
      </w:rPr>
    </w:pPr>
  </w:p>
  <w:p w14:paraId="1DED6A95" w14:textId="028844DD" w:rsidR="00A9632E" w:rsidRDefault="00A9632E" w:rsidP="003C6DB1">
    <w:pPr>
      <w:pStyle w:val="Cabealho"/>
      <w:jc w:val="right"/>
      <w:rPr>
        <w:rFonts w:asciiTheme="majorHAnsi" w:hAnsiTheme="majorHAnsi" w:cstheme="majorHAnsi"/>
        <w:sz w:val="20"/>
        <w:szCs w:val="20"/>
      </w:rPr>
    </w:pPr>
  </w:p>
  <w:p w14:paraId="29EA5ABB" w14:textId="77777777" w:rsidR="000C6115" w:rsidRDefault="000C6115"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EEBC2F28"/>
    <w:lvl w:ilvl="0">
      <w:start w:val="1"/>
      <w:numFmt w:val="decimal"/>
      <w:pStyle w:val="Numerada"/>
      <w:lvlText w:val="%1."/>
      <w:lvlJc w:val="left"/>
      <w:pPr>
        <w:tabs>
          <w:tab w:val="num" w:pos="360"/>
        </w:tabs>
        <w:ind w:left="360" w:hanging="360"/>
      </w:pPr>
    </w:lvl>
  </w:abstractNum>
  <w:abstractNum w:abstractNumId="2" w15:restartNumberingAfterBreak="0">
    <w:nsid w:val="15510714"/>
    <w:multiLevelType w:val="hybridMultilevel"/>
    <w:tmpl w:val="987E90C2"/>
    <w:lvl w:ilvl="0" w:tplc="55749AE0">
      <w:start w:val="1"/>
      <w:numFmt w:val="decimal"/>
      <w:pStyle w:val="Estilo8"/>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 w15:restartNumberingAfterBreak="0">
    <w:nsid w:val="1D5C100D"/>
    <w:multiLevelType w:val="multilevel"/>
    <w:tmpl w:val="6882BED8"/>
    <w:lvl w:ilvl="0">
      <w:start w:val="1"/>
      <w:numFmt w:val="decimal"/>
      <w:pStyle w:val="Nivel01"/>
      <w:lvlText w:val="%1."/>
      <w:lvlJc w:val="left"/>
      <w:pPr>
        <w:ind w:left="360" w:hanging="360"/>
      </w:pPr>
      <w:rPr>
        <w:rFonts w:hint="default"/>
        <w:b w:val="0"/>
        <w:bCs/>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355"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571B88"/>
    <w:multiLevelType w:val="multilevel"/>
    <w:tmpl w:val="BD54D2EE"/>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67B2EBB"/>
    <w:multiLevelType w:val="multilevel"/>
    <w:tmpl w:val="563E2476"/>
    <w:styleLink w:val="WW8Num80"/>
    <w:lvl w:ilvl="0">
      <w:numFmt w:val="bullet"/>
      <w:lvlText w:val=""/>
      <w:lvlJc w:val="left"/>
      <w:pPr>
        <w:ind w:left="0" w:firstLine="0"/>
      </w:pPr>
      <w:rPr>
        <w:rFonts w:ascii="Symbol" w:hAnsi="Symbol"/>
        <w:sz w:val="22"/>
      </w:rPr>
    </w:lvl>
    <w:lvl w:ilvl="1">
      <w:numFmt w:val="bullet"/>
      <w:lvlText w:val="◦"/>
      <w:lvlJc w:val="left"/>
      <w:pPr>
        <w:ind w:left="0" w:firstLine="0"/>
      </w:pPr>
      <w:rPr>
        <w:rFonts w:ascii="OpenSymbol" w:hAnsi="OpenSymbol"/>
        <w:sz w:val="22"/>
      </w:rPr>
    </w:lvl>
    <w:lvl w:ilvl="2">
      <w:numFmt w:val="bullet"/>
      <w:lvlText w:val="▪"/>
      <w:lvlJc w:val="left"/>
      <w:pPr>
        <w:ind w:left="0" w:firstLine="0"/>
      </w:pPr>
      <w:rPr>
        <w:rFonts w:ascii="OpenSymbol" w:hAnsi="OpenSymbol"/>
        <w:sz w:val="22"/>
      </w:rPr>
    </w:lvl>
    <w:lvl w:ilvl="3">
      <w:numFmt w:val="bullet"/>
      <w:lvlText w:val=""/>
      <w:lvlJc w:val="left"/>
      <w:pPr>
        <w:ind w:left="0" w:firstLine="0"/>
      </w:pPr>
      <w:rPr>
        <w:rFonts w:ascii="Symbol" w:hAnsi="Symbol"/>
        <w:sz w:val="22"/>
      </w:rPr>
    </w:lvl>
    <w:lvl w:ilvl="4">
      <w:numFmt w:val="bullet"/>
      <w:lvlText w:val="◦"/>
      <w:lvlJc w:val="left"/>
      <w:pPr>
        <w:ind w:left="0" w:firstLine="0"/>
      </w:pPr>
      <w:rPr>
        <w:rFonts w:ascii="OpenSymbol" w:hAnsi="OpenSymbol"/>
        <w:sz w:val="22"/>
      </w:rPr>
    </w:lvl>
    <w:lvl w:ilvl="5">
      <w:numFmt w:val="bullet"/>
      <w:lvlText w:val="▪"/>
      <w:lvlJc w:val="left"/>
      <w:pPr>
        <w:ind w:left="0" w:firstLine="0"/>
      </w:pPr>
      <w:rPr>
        <w:rFonts w:ascii="OpenSymbol" w:hAnsi="OpenSymbol"/>
        <w:sz w:val="22"/>
      </w:rPr>
    </w:lvl>
    <w:lvl w:ilvl="6">
      <w:numFmt w:val="bullet"/>
      <w:lvlText w:val=""/>
      <w:lvlJc w:val="left"/>
      <w:pPr>
        <w:ind w:left="0" w:firstLine="0"/>
      </w:pPr>
      <w:rPr>
        <w:rFonts w:ascii="Symbol" w:hAnsi="Symbol"/>
        <w:sz w:val="22"/>
      </w:rPr>
    </w:lvl>
    <w:lvl w:ilvl="7">
      <w:numFmt w:val="bullet"/>
      <w:lvlText w:val="◦"/>
      <w:lvlJc w:val="left"/>
      <w:pPr>
        <w:ind w:left="0" w:firstLine="0"/>
      </w:pPr>
      <w:rPr>
        <w:rFonts w:ascii="OpenSymbol" w:hAnsi="OpenSymbol"/>
        <w:sz w:val="22"/>
      </w:rPr>
    </w:lvl>
    <w:lvl w:ilvl="8">
      <w:numFmt w:val="bullet"/>
      <w:lvlText w:val="▪"/>
      <w:lvlJc w:val="left"/>
      <w:pPr>
        <w:ind w:left="0" w:firstLine="0"/>
      </w:pPr>
      <w:rPr>
        <w:rFonts w:ascii="OpenSymbol" w:hAnsi="OpenSymbol"/>
        <w:sz w:val="22"/>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6137959">
    <w:abstractNumId w:val="0"/>
  </w:num>
  <w:num w:numId="2" w16cid:durableId="655497110">
    <w:abstractNumId w:val="10"/>
  </w:num>
  <w:num w:numId="3" w16cid:durableId="306858636">
    <w:abstractNumId w:val="12"/>
  </w:num>
  <w:num w:numId="4" w16cid:durableId="936017828">
    <w:abstractNumId w:val="6"/>
  </w:num>
  <w:num w:numId="5" w16cid:durableId="357901234">
    <w:abstractNumId w:val="4"/>
  </w:num>
  <w:num w:numId="6" w16cid:durableId="1836677092">
    <w:abstractNumId w:val="8"/>
  </w:num>
  <w:num w:numId="7" w16cid:durableId="156507833">
    <w:abstractNumId w:val="9"/>
  </w:num>
  <w:num w:numId="8" w16cid:durableId="6446713">
    <w:abstractNumId w:val="7"/>
  </w:num>
  <w:num w:numId="9" w16cid:durableId="619797136">
    <w:abstractNumId w:val="2"/>
  </w:num>
  <w:num w:numId="10" w16cid:durableId="1337996992">
    <w:abstractNumId w:val="3"/>
  </w:num>
  <w:num w:numId="11" w16cid:durableId="161967544">
    <w:abstractNumId w:val="1"/>
  </w:num>
  <w:num w:numId="12" w16cid:durableId="7521679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0FDD"/>
    <w:rsid w:val="00001089"/>
    <w:rsid w:val="000019C6"/>
    <w:rsid w:val="0000236D"/>
    <w:rsid w:val="00002A3C"/>
    <w:rsid w:val="00003033"/>
    <w:rsid w:val="00003298"/>
    <w:rsid w:val="00003DBF"/>
    <w:rsid w:val="00003F8B"/>
    <w:rsid w:val="00004D4F"/>
    <w:rsid w:val="00004E71"/>
    <w:rsid w:val="00005857"/>
    <w:rsid w:val="00005901"/>
    <w:rsid w:val="00005A68"/>
    <w:rsid w:val="00005C75"/>
    <w:rsid w:val="00006179"/>
    <w:rsid w:val="00006180"/>
    <w:rsid w:val="000066C8"/>
    <w:rsid w:val="000069B4"/>
    <w:rsid w:val="000070AF"/>
    <w:rsid w:val="000073F0"/>
    <w:rsid w:val="000073F3"/>
    <w:rsid w:val="0000752F"/>
    <w:rsid w:val="0000756E"/>
    <w:rsid w:val="00007615"/>
    <w:rsid w:val="00007D42"/>
    <w:rsid w:val="00007E0D"/>
    <w:rsid w:val="00010C6A"/>
    <w:rsid w:val="0001106F"/>
    <w:rsid w:val="00011390"/>
    <w:rsid w:val="0001141A"/>
    <w:rsid w:val="000122C1"/>
    <w:rsid w:val="000124BA"/>
    <w:rsid w:val="00012A11"/>
    <w:rsid w:val="00012E0E"/>
    <w:rsid w:val="00013040"/>
    <w:rsid w:val="00014236"/>
    <w:rsid w:val="0001427F"/>
    <w:rsid w:val="0001451E"/>
    <w:rsid w:val="000145B7"/>
    <w:rsid w:val="00014B1F"/>
    <w:rsid w:val="00014E7A"/>
    <w:rsid w:val="00014FC0"/>
    <w:rsid w:val="00015076"/>
    <w:rsid w:val="0001517C"/>
    <w:rsid w:val="0001535D"/>
    <w:rsid w:val="00015651"/>
    <w:rsid w:val="000156E9"/>
    <w:rsid w:val="00015783"/>
    <w:rsid w:val="00015A6E"/>
    <w:rsid w:val="00015ABD"/>
    <w:rsid w:val="00015D4B"/>
    <w:rsid w:val="00016822"/>
    <w:rsid w:val="00016C8A"/>
    <w:rsid w:val="00016EDE"/>
    <w:rsid w:val="000174C3"/>
    <w:rsid w:val="000175E0"/>
    <w:rsid w:val="00017D3B"/>
    <w:rsid w:val="00020AA1"/>
    <w:rsid w:val="00020C33"/>
    <w:rsid w:val="00020D0D"/>
    <w:rsid w:val="0002118D"/>
    <w:rsid w:val="000212C9"/>
    <w:rsid w:val="0002260C"/>
    <w:rsid w:val="0002289A"/>
    <w:rsid w:val="000229B1"/>
    <w:rsid w:val="00022BA7"/>
    <w:rsid w:val="0002306D"/>
    <w:rsid w:val="00023CDD"/>
    <w:rsid w:val="00023F9D"/>
    <w:rsid w:val="000242C8"/>
    <w:rsid w:val="0002548B"/>
    <w:rsid w:val="00025B38"/>
    <w:rsid w:val="00025E06"/>
    <w:rsid w:val="000269FB"/>
    <w:rsid w:val="00026A9C"/>
    <w:rsid w:val="00026C21"/>
    <w:rsid w:val="00026D0E"/>
    <w:rsid w:val="00027155"/>
    <w:rsid w:val="000275C3"/>
    <w:rsid w:val="00027735"/>
    <w:rsid w:val="000277DE"/>
    <w:rsid w:val="00027855"/>
    <w:rsid w:val="00027933"/>
    <w:rsid w:val="00027A5D"/>
    <w:rsid w:val="00030100"/>
    <w:rsid w:val="00031301"/>
    <w:rsid w:val="000318BA"/>
    <w:rsid w:val="00031DBE"/>
    <w:rsid w:val="00031E06"/>
    <w:rsid w:val="000321F5"/>
    <w:rsid w:val="00032277"/>
    <w:rsid w:val="000322A8"/>
    <w:rsid w:val="000322C9"/>
    <w:rsid w:val="00032EA8"/>
    <w:rsid w:val="000335F5"/>
    <w:rsid w:val="00033663"/>
    <w:rsid w:val="00033DA9"/>
    <w:rsid w:val="00033E86"/>
    <w:rsid w:val="000340B8"/>
    <w:rsid w:val="00034A29"/>
    <w:rsid w:val="00034FD6"/>
    <w:rsid w:val="00035095"/>
    <w:rsid w:val="0003536B"/>
    <w:rsid w:val="00035D80"/>
    <w:rsid w:val="000363BF"/>
    <w:rsid w:val="00036536"/>
    <w:rsid w:val="00036982"/>
    <w:rsid w:val="00036DF4"/>
    <w:rsid w:val="000373BF"/>
    <w:rsid w:val="0003743B"/>
    <w:rsid w:val="00037772"/>
    <w:rsid w:val="00037B74"/>
    <w:rsid w:val="00037BC8"/>
    <w:rsid w:val="00037BF5"/>
    <w:rsid w:val="00037C97"/>
    <w:rsid w:val="00037CFD"/>
    <w:rsid w:val="00037D92"/>
    <w:rsid w:val="00040217"/>
    <w:rsid w:val="0004076C"/>
    <w:rsid w:val="000408A0"/>
    <w:rsid w:val="00040957"/>
    <w:rsid w:val="00040C52"/>
    <w:rsid w:val="00040CE3"/>
    <w:rsid w:val="00040D0F"/>
    <w:rsid w:val="00041176"/>
    <w:rsid w:val="00041392"/>
    <w:rsid w:val="00041517"/>
    <w:rsid w:val="00041B5D"/>
    <w:rsid w:val="00041DCD"/>
    <w:rsid w:val="0004211F"/>
    <w:rsid w:val="0004226B"/>
    <w:rsid w:val="00042328"/>
    <w:rsid w:val="00042708"/>
    <w:rsid w:val="00042714"/>
    <w:rsid w:val="00042DB9"/>
    <w:rsid w:val="000438B3"/>
    <w:rsid w:val="00044685"/>
    <w:rsid w:val="0004478F"/>
    <w:rsid w:val="00044CF4"/>
    <w:rsid w:val="000452C7"/>
    <w:rsid w:val="00045836"/>
    <w:rsid w:val="0004586D"/>
    <w:rsid w:val="0004587A"/>
    <w:rsid w:val="00045B93"/>
    <w:rsid w:val="00045EE0"/>
    <w:rsid w:val="00047734"/>
    <w:rsid w:val="00047761"/>
    <w:rsid w:val="00047D73"/>
    <w:rsid w:val="00050015"/>
    <w:rsid w:val="000501A4"/>
    <w:rsid w:val="000502FB"/>
    <w:rsid w:val="00050712"/>
    <w:rsid w:val="00050CA9"/>
    <w:rsid w:val="00050EA0"/>
    <w:rsid w:val="00051312"/>
    <w:rsid w:val="00051782"/>
    <w:rsid w:val="000518EF"/>
    <w:rsid w:val="00051E29"/>
    <w:rsid w:val="00051F02"/>
    <w:rsid w:val="00052048"/>
    <w:rsid w:val="00052620"/>
    <w:rsid w:val="000526DD"/>
    <w:rsid w:val="00052770"/>
    <w:rsid w:val="00052F23"/>
    <w:rsid w:val="00053303"/>
    <w:rsid w:val="00053E4F"/>
    <w:rsid w:val="00053E65"/>
    <w:rsid w:val="000542D5"/>
    <w:rsid w:val="00055034"/>
    <w:rsid w:val="00055889"/>
    <w:rsid w:val="00055C19"/>
    <w:rsid w:val="00055F99"/>
    <w:rsid w:val="00056433"/>
    <w:rsid w:val="000564D1"/>
    <w:rsid w:val="00056721"/>
    <w:rsid w:val="000569FB"/>
    <w:rsid w:val="000575AE"/>
    <w:rsid w:val="00060256"/>
    <w:rsid w:val="00060414"/>
    <w:rsid w:val="00060715"/>
    <w:rsid w:val="00060A78"/>
    <w:rsid w:val="00060B91"/>
    <w:rsid w:val="00060E15"/>
    <w:rsid w:val="00060E1B"/>
    <w:rsid w:val="00061553"/>
    <w:rsid w:val="00061A9E"/>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2"/>
    <w:rsid w:val="00066564"/>
    <w:rsid w:val="000670EC"/>
    <w:rsid w:val="000676DF"/>
    <w:rsid w:val="000677A2"/>
    <w:rsid w:val="00067B0A"/>
    <w:rsid w:val="0007019A"/>
    <w:rsid w:val="00070375"/>
    <w:rsid w:val="0007075C"/>
    <w:rsid w:val="000709FF"/>
    <w:rsid w:val="00070EA5"/>
    <w:rsid w:val="00070FD8"/>
    <w:rsid w:val="000710E1"/>
    <w:rsid w:val="0007116E"/>
    <w:rsid w:val="00071E37"/>
    <w:rsid w:val="000720EE"/>
    <w:rsid w:val="000725AE"/>
    <w:rsid w:val="00073004"/>
    <w:rsid w:val="0007346E"/>
    <w:rsid w:val="00073596"/>
    <w:rsid w:val="00073852"/>
    <w:rsid w:val="00073E63"/>
    <w:rsid w:val="00074C77"/>
    <w:rsid w:val="000756BA"/>
    <w:rsid w:val="0007625C"/>
    <w:rsid w:val="00076921"/>
    <w:rsid w:val="00076AF3"/>
    <w:rsid w:val="00076CBC"/>
    <w:rsid w:val="0007709E"/>
    <w:rsid w:val="00077127"/>
    <w:rsid w:val="00077534"/>
    <w:rsid w:val="000779C7"/>
    <w:rsid w:val="00077BC1"/>
    <w:rsid w:val="00077F21"/>
    <w:rsid w:val="00080710"/>
    <w:rsid w:val="00080B53"/>
    <w:rsid w:val="00080DD9"/>
    <w:rsid w:val="00081098"/>
    <w:rsid w:val="000811E8"/>
    <w:rsid w:val="00081282"/>
    <w:rsid w:val="0008205E"/>
    <w:rsid w:val="00082162"/>
    <w:rsid w:val="000823C4"/>
    <w:rsid w:val="000826B8"/>
    <w:rsid w:val="0008272E"/>
    <w:rsid w:val="0008276E"/>
    <w:rsid w:val="00082AFB"/>
    <w:rsid w:val="00082DC7"/>
    <w:rsid w:val="00082F7C"/>
    <w:rsid w:val="000831C8"/>
    <w:rsid w:val="000838F5"/>
    <w:rsid w:val="00083BD5"/>
    <w:rsid w:val="00084490"/>
    <w:rsid w:val="00084518"/>
    <w:rsid w:val="00084B68"/>
    <w:rsid w:val="00084D6D"/>
    <w:rsid w:val="000850DC"/>
    <w:rsid w:val="00085974"/>
    <w:rsid w:val="00086D55"/>
    <w:rsid w:val="00086F97"/>
    <w:rsid w:val="000872C8"/>
    <w:rsid w:val="000879FB"/>
    <w:rsid w:val="00087EF2"/>
    <w:rsid w:val="000902AA"/>
    <w:rsid w:val="00090425"/>
    <w:rsid w:val="00090534"/>
    <w:rsid w:val="00090BA7"/>
    <w:rsid w:val="00090D08"/>
    <w:rsid w:val="00090F5D"/>
    <w:rsid w:val="0009142E"/>
    <w:rsid w:val="00091490"/>
    <w:rsid w:val="00091828"/>
    <w:rsid w:val="00091897"/>
    <w:rsid w:val="000921E1"/>
    <w:rsid w:val="000923CA"/>
    <w:rsid w:val="00092759"/>
    <w:rsid w:val="00092A17"/>
    <w:rsid w:val="00092CA5"/>
    <w:rsid w:val="0009310D"/>
    <w:rsid w:val="000935AA"/>
    <w:rsid w:val="00093B86"/>
    <w:rsid w:val="00094191"/>
    <w:rsid w:val="00094321"/>
    <w:rsid w:val="00094790"/>
    <w:rsid w:val="00094A8E"/>
    <w:rsid w:val="00094D55"/>
    <w:rsid w:val="000959D7"/>
    <w:rsid w:val="00095D4B"/>
    <w:rsid w:val="000967EB"/>
    <w:rsid w:val="00096B41"/>
    <w:rsid w:val="00096F58"/>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4FBD"/>
    <w:rsid w:val="000A50B2"/>
    <w:rsid w:val="000A5354"/>
    <w:rsid w:val="000A5D6C"/>
    <w:rsid w:val="000A5E21"/>
    <w:rsid w:val="000A674F"/>
    <w:rsid w:val="000A6EF7"/>
    <w:rsid w:val="000A7471"/>
    <w:rsid w:val="000A7A72"/>
    <w:rsid w:val="000A7A9F"/>
    <w:rsid w:val="000B0098"/>
    <w:rsid w:val="000B01DF"/>
    <w:rsid w:val="000B02A1"/>
    <w:rsid w:val="000B0EB4"/>
    <w:rsid w:val="000B0F42"/>
    <w:rsid w:val="000B1097"/>
    <w:rsid w:val="000B1534"/>
    <w:rsid w:val="000B1626"/>
    <w:rsid w:val="000B1C01"/>
    <w:rsid w:val="000B226F"/>
    <w:rsid w:val="000B283A"/>
    <w:rsid w:val="000B2855"/>
    <w:rsid w:val="000B2E75"/>
    <w:rsid w:val="000B3B09"/>
    <w:rsid w:val="000B4772"/>
    <w:rsid w:val="000B49DC"/>
    <w:rsid w:val="000B56AB"/>
    <w:rsid w:val="000B5915"/>
    <w:rsid w:val="000B663C"/>
    <w:rsid w:val="000B6BAC"/>
    <w:rsid w:val="000B7B55"/>
    <w:rsid w:val="000C052F"/>
    <w:rsid w:val="000C05F5"/>
    <w:rsid w:val="000C0725"/>
    <w:rsid w:val="000C08E9"/>
    <w:rsid w:val="000C0A7A"/>
    <w:rsid w:val="000C0E55"/>
    <w:rsid w:val="000C123B"/>
    <w:rsid w:val="000C19BD"/>
    <w:rsid w:val="000C1A8D"/>
    <w:rsid w:val="000C20BD"/>
    <w:rsid w:val="000C21AD"/>
    <w:rsid w:val="000C2B50"/>
    <w:rsid w:val="000C2C16"/>
    <w:rsid w:val="000C2E00"/>
    <w:rsid w:val="000C3098"/>
    <w:rsid w:val="000C32BF"/>
    <w:rsid w:val="000C331F"/>
    <w:rsid w:val="000C380A"/>
    <w:rsid w:val="000C3E5F"/>
    <w:rsid w:val="000C40ED"/>
    <w:rsid w:val="000C4324"/>
    <w:rsid w:val="000C4D0C"/>
    <w:rsid w:val="000C4D11"/>
    <w:rsid w:val="000C5061"/>
    <w:rsid w:val="000C51E1"/>
    <w:rsid w:val="000C5D14"/>
    <w:rsid w:val="000C6115"/>
    <w:rsid w:val="000C6446"/>
    <w:rsid w:val="000C670A"/>
    <w:rsid w:val="000C68AD"/>
    <w:rsid w:val="000C6A13"/>
    <w:rsid w:val="000C70A6"/>
    <w:rsid w:val="000C7919"/>
    <w:rsid w:val="000C7B27"/>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ABC"/>
    <w:rsid w:val="000D7D03"/>
    <w:rsid w:val="000D7D39"/>
    <w:rsid w:val="000E0276"/>
    <w:rsid w:val="000E071F"/>
    <w:rsid w:val="000E0923"/>
    <w:rsid w:val="000E10C4"/>
    <w:rsid w:val="000E15DC"/>
    <w:rsid w:val="000E1AA8"/>
    <w:rsid w:val="000E20A6"/>
    <w:rsid w:val="000E20D5"/>
    <w:rsid w:val="000E238A"/>
    <w:rsid w:val="000E2993"/>
    <w:rsid w:val="000E2FAF"/>
    <w:rsid w:val="000E31D5"/>
    <w:rsid w:val="000E320E"/>
    <w:rsid w:val="000E37B6"/>
    <w:rsid w:val="000E37C6"/>
    <w:rsid w:val="000E394A"/>
    <w:rsid w:val="000E3CC6"/>
    <w:rsid w:val="000E3D71"/>
    <w:rsid w:val="000E42DE"/>
    <w:rsid w:val="000E4B05"/>
    <w:rsid w:val="000E4B11"/>
    <w:rsid w:val="000E4C1B"/>
    <w:rsid w:val="000E4F8C"/>
    <w:rsid w:val="000E5661"/>
    <w:rsid w:val="000E5C58"/>
    <w:rsid w:val="000E5ED5"/>
    <w:rsid w:val="000E610F"/>
    <w:rsid w:val="000E611D"/>
    <w:rsid w:val="000E739A"/>
    <w:rsid w:val="000E7EB8"/>
    <w:rsid w:val="000E7F73"/>
    <w:rsid w:val="000F0372"/>
    <w:rsid w:val="000F03F6"/>
    <w:rsid w:val="000F0A2E"/>
    <w:rsid w:val="000F0B7A"/>
    <w:rsid w:val="000F104D"/>
    <w:rsid w:val="000F113C"/>
    <w:rsid w:val="000F1290"/>
    <w:rsid w:val="000F1C1C"/>
    <w:rsid w:val="000F1CCF"/>
    <w:rsid w:val="000F2B66"/>
    <w:rsid w:val="000F2D6D"/>
    <w:rsid w:val="000F2EA4"/>
    <w:rsid w:val="000F3C28"/>
    <w:rsid w:val="000F4088"/>
    <w:rsid w:val="000F4F96"/>
    <w:rsid w:val="000F5051"/>
    <w:rsid w:val="000F5A07"/>
    <w:rsid w:val="000F68B7"/>
    <w:rsid w:val="000F7E88"/>
    <w:rsid w:val="000F7F12"/>
    <w:rsid w:val="001003FA"/>
    <w:rsid w:val="0010044D"/>
    <w:rsid w:val="0010051D"/>
    <w:rsid w:val="00100606"/>
    <w:rsid w:val="00100990"/>
    <w:rsid w:val="0010099D"/>
    <w:rsid w:val="00100BD1"/>
    <w:rsid w:val="00100D91"/>
    <w:rsid w:val="001011CE"/>
    <w:rsid w:val="001011D5"/>
    <w:rsid w:val="001017A9"/>
    <w:rsid w:val="00101DCA"/>
    <w:rsid w:val="0010219B"/>
    <w:rsid w:val="001025BD"/>
    <w:rsid w:val="001029D2"/>
    <w:rsid w:val="00102F0D"/>
    <w:rsid w:val="00102F2B"/>
    <w:rsid w:val="00102FA9"/>
    <w:rsid w:val="0010312E"/>
    <w:rsid w:val="00103391"/>
    <w:rsid w:val="001033DE"/>
    <w:rsid w:val="00103440"/>
    <w:rsid w:val="00103461"/>
    <w:rsid w:val="00103668"/>
    <w:rsid w:val="00104204"/>
    <w:rsid w:val="00104C11"/>
    <w:rsid w:val="00104DB6"/>
    <w:rsid w:val="00105071"/>
    <w:rsid w:val="00105707"/>
    <w:rsid w:val="00105BB9"/>
    <w:rsid w:val="00105C7B"/>
    <w:rsid w:val="00106B39"/>
    <w:rsid w:val="00107032"/>
    <w:rsid w:val="001074F1"/>
    <w:rsid w:val="00110305"/>
    <w:rsid w:val="001103FF"/>
    <w:rsid w:val="0011087A"/>
    <w:rsid w:val="00110909"/>
    <w:rsid w:val="001116F8"/>
    <w:rsid w:val="00111C8B"/>
    <w:rsid w:val="00111EAE"/>
    <w:rsid w:val="001120D2"/>
    <w:rsid w:val="0011261C"/>
    <w:rsid w:val="00112A6A"/>
    <w:rsid w:val="00112ABD"/>
    <w:rsid w:val="001130C5"/>
    <w:rsid w:val="0011327E"/>
    <w:rsid w:val="001133C7"/>
    <w:rsid w:val="0011358D"/>
    <w:rsid w:val="00113EEB"/>
    <w:rsid w:val="00114269"/>
    <w:rsid w:val="00114C63"/>
    <w:rsid w:val="00114DE7"/>
    <w:rsid w:val="00115429"/>
    <w:rsid w:val="0011547B"/>
    <w:rsid w:val="0011575E"/>
    <w:rsid w:val="00115C30"/>
    <w:rsid w:val="00116179"/>
    <w:rsid w:val="00116404"/>
    <w:rsid w:val="00116D83"/>
    <w:rsid w:val="001172E2"/>
    <w:rsid w:val="001175EF"/>
    <w:rsid w:val="00117BD3"/>
    <w:rsid w:val="00117FCF"/>
    <w:rsid w:val="001208D4"/>
    <w:rsid w:val="00120DAD"/>
    <w:rsid w:val="0012102E"/>
    <w:rsid w:val="001219B0"/>
    <w:rsid w:val="00121BF7"/>
    <w:rsid w:val="00121E12"/>
    <w:rsid w:val="00122C50"/>
    <w:rsid w:val="00122CF4"/>
    <w:rsid w:val="00122D81"/>
    <w:rsid w:val="00123192"/>
    <w:rsid w:val="00123693"/>
    <w:rsid w:val="001243BC"/>
    <w:rsid w:val="00124736"/>
    <w:rsid w:val="00124990"/>
    <w:rsid w:val="00124A63"/>
    <w:rsid w:val="00124F89"/>
    <w:rsid w:val="00124FB7"/>
    <w:rsid w:val="00125385"/>
    <w:rsid w:val="00125465"/>
    <w:rsid w:val="00125A7B"/>
    <w:rsid w:val="00125AF2"/>
    <w:rsid w:val="00125CCF"/>
    <w:rsid w:val="001260FD"/>
    <w:rsid w:val="00126842"/>
    <w:rsid w:val="00126972"/>
    <w:rsid w:val="00126D51"/>
    <w:rsid w:val="0012731E"/>
    <w:rsid w:val="00127321"/>
    <w:rsid w:val="0012744D"/>
    <w:rsid w:val="001274AB"/>
    <w:rsid w:val="00127915"/>
    <w:rsid w:val="00127D78"/>
    <w:rsid w:val="00127DCD"/>
    <w:rsid w:val="00130039"/>
    <w:rsid w:val="001304C0"/>
    <w:rsid w:val="001305E6"/>
    <w:rsid w:val="001305EC"/>
    <w:rsid w:val="00130BEE"/>
    <w:rsid w:val="00130C3B"/>
    <w:rsid w:val="00130D2E"/>
    <w:rsid w:val="001315F2"/>
    <w:rsid w:val="00131B77"/>
    <w:rsid w:val="00132214"/>
    <w:rsid w:val="00132231"/>
    <w:rsid w:val="00132A82"/>
    <w:rsid w:val="00132D87"/>
    <w:rsid w:val="00133148"/>
    <w:rsid w:val="00133A1F"/>
    <w:rsid w:val="001341ED"/>
    <w:rsid w:val="001342C0"/>
    <w:rsid w:val="00134694"/>
    <w:rsid w:val="00134698"/>
    <w:rsid w:val="00134ECB"/>
    <w:rsid w:val="00134FE4"/>
    <w:rsid w:val="001350C0"/>
    <w:rsid w:val="0013511F"/>
    <w:rsid w:val="0013520A"/>
    <w:rsid w:val="00135710"/>
    <w:rsid w:val="00135CCD"/>
    <w:rsid w:val="00136255"/>
    <w:rsid w:val="00136D43"/>
    <w:rsid w:val="0013709F"/>
    <w:rsid w:val="00137BE7"/>
    <w:rsid w:val="00137F60"/>
    <w:rsid w:val="0014004B"/>
    <w:rsid w:val="001400AB"/>
    <w:rsid w:val="00140584"/>
    <w:rsid w:val="00140A41"/>
    <w:rsid w:val="00140D6A"/>
    <w:rsid w:val="00140E29"/>
    <w:rsid w:val="00141189"/>
    <w:rsid w:val="001414AC"/>
    <w:rsid w:val="001419CD"/>
    <w:rsid w:val="001419EE"/>
    <w:rsid w:val="00141AF9"/>
    <w:rsid w:val="00142B67"/>
    <w:rsid w:val="00142FE1"/>
    <w:rsid w:val="0014325E"/>
    <w:rsid w:val="00143845"/>
    <w:rsid w:val="00143C8C"/>
    <w:rsid w:val="00143DB3"/>
    <w:rsid w:val="00143E29"/>
    <w:rsid w:val="00143FD9"/>
    <w:rsid w:val="001441A4"/>
    <w:rsid w:val="001443B4"/>
    <w:rsid w:val="0014493A"/>
    <w:rsid w:val="00144A52"/>
    <w:rsid w:val="00144AB1"/>
    <w:rsid w:val="00144E73"/>
    <w:rsid w:val="00145543"/>
    <w:rsid w:val="001456B6"/>
    <w:rsid w:val="001463CE"/>
    <w:rsid w:val="0014670B"/>
    <w:rsid w:val="001468D3"/>
    <w:rsid w:val="0014695E"/>
    <w:rsid w:val="00146BDF"/>
    <w:rsid w:val="00150295"/>
    <w:rsid w:val="001508FD"/>
    <w:rsid w:val="001516EA"/>
    <w:rsid w:val="0015172D"/>
    <w:rsid w:val="001519FD"/>
    <w:rsid w:val="00151E16"/>
    <w:rsid w:val="001521D8"/>
    <w:rsid w:val="00152574"/>
    <w:rsid w:val="001527ED"/>
    <w:rsid w:val="00153295"/>
    <w:rsid w:val="0015330F"/>
    <w:rsid w:val="0015394F"/>
    <w:rsid w:val="00153ABA"/>
    <w:rsid w:val="00153BA8"/>
    <w:rsid w:val="00153E25"/>
    <w:rsid w:val="00154351"/>
    <w:rsid w:val="00154505"/>
    <w:rsid w:val="0015466F"/>
    <w:rsid w:val="00154848"/>
    <w:rsid w:val="00154B86"/>
    <w:rsid w:val="00154BF4"/>
    <w:rsid w:val="00155257"/>
    <w:rsid w:val="00155CDA"/>
    <w:rsid w:val="00155D25"/>
    <w:rsid w:val="00156166"/>
    <w:rsid w:val="001562A8"/>
    <w:rsid w:val="00156349"/>
    <w:rsid w:val="0015684D"/>
    <w:rsid w:val="00156C02"/>
    <w:rsid w:val="00156C74"/>
    <w:rsid w:val="00156E66"/>
    <w:rsid w:val="00156E90"/>
    <w:rsid w:val="0015752A"/>
    <w:rsid w:val="00157D8E"/>
    <w:rsid w:val="00160549"/>
    <w:rsid w:val="00160602"/>
    <w:rsid w:val="001608E4"/>
    <w:rsid w:val="001609E5"/>
    <w:rsid w:val="00160BBD"/>
    <w:rsid w:val="00160D9F"/>
    <w:rsid w:val="00160DA4"/>
    <w:rsid w:val="00161423"/>
    <w:rsid w:val="00162261"/>
    <w:rsid w:val="00162343"/>
    <w:rsid w:val="00162645"/>
    <w:rsid w:val="00162A47"/>
    <w:rsid w:val="00162FBA"/>
    <w:rsid w:val="0016334B"/>
    <w:rsid w:val="00163925"/>
    <w:rsid w:val="0016418C"/>
    <w:rsid w:val="00164870"/>
    <w:rsid w:val="001648FB"/>
    <w:rsid w:val="00164CC3"/>
    <w:rsid w:val="00164D3A"/>
    <w:rsid w:val="00164EBC"/>
    <w:rsid w:val="0016553F"/>
    <w:rsid w:val="00165573"/>
    <w:rsid w:val="00165577"/>
    <w:rsid w:val="0016584A"/>
    <w:rsid w:val="0016603C"/>
    <w:rsid w:val="00166516"/>
    <w:rsid w:val="0016672F"/>
    <w:rsid w:val="00166820"/>
    <w:rsid w:val="00167C43"/>
    <w:rsid w:val="00170173"/>
    <w:rsid w:val="00170558"/>
    <w:rsid w:val="001705DE"/>
    <w:rsid w:val="001706E2"/>
    <w:rsid w:val="00170CE1"/>
    <w:rsid w:val="00170D49"/>
    <w:rsid w:val="00171A80"/>
    <w:rsid w:val="00171F10"/>
    <w:rsid w:val="001723DF"/>
    <w:rsid w:val="0017284B"/>
    <w:rsid w:val="00172A0F"/>
    <w:rsid w:val="0017326E"/>
    <w:rsid w:val="00173E7D"/>
    <w:rsid w:val="00174757"/>
    <w:rsid w:val="00174843"/>
    <w:rsid w:val="00174CAA"/>
    <w:rsid w:val="00174D48"/>
    <w:rsid w:val="00174F1B"/>
    <w:rsid w:val="00175089"/>
    <w:rsid w:val="00175687"/>
    <w:rsid w:val="00175B9C"/>
    <w:rsid w:val="00175C14"/>
    <w:rsid w:val="00176866"/>
    <w:rsid w:val="001769EC"/>
    <w:rsid w:val="00176D13"/>
    <w:rsid w:val="001772A8"/>
    <w:rsid w:val="001774B8"/>
    <w:rsid w:val="001777C6"/>
    <w:rsid w:val="00177958"/>
    <w:rsid w:val="00177CD5"/>
    <w:rsid w:val="001803DF"/>
    <w:rsid w:val="00180641"/>
    <w:rsid w:val="00180672"/>
    <w:rsid w:val="00180B4C"/>
    <w:rsid w:val="0018179A"/>
    <w:rsid w:val="001817D2"/>
    <w:rsid w:val="00181E1F"/>
    <w:rsid w:val="00181F1C"/>
    <w:rsid w:val="0018218A"/>
    <w:rsid w:val="00182912"/>
    <w:rsid w:val="00183B64"/>
    <w:rsid w:val="00184086"/>
    <w:rsid w:val="001842A6"/>
    <w:rsid w:val="00184591"/>
    <w:rsid w:val="00184618"/>
    <w:rsid w:val="00184919"/>
    <w:rsid w:val="00184AE7"/>
    <w:rsid w:val="00184E7C"/>
    <w:rsid w:val="00185DF1"/>
    <w:rsid w:val="00185F3B"/>
    <w:rsid w:val="0018613B"/>
    <w:rsid w:val="00187206"/>
    <w:rsid w:val="0018788D"/>
    <w:rsid w:val="0019002C"/>
    <w:rsid w:val="001904A8"/>
    <w:rsid w:val="001905CD"/>
    <w:rsid w:val="00190B26"/>
    <w:rsid w:val="00190C1D"/>
    <w:rsid w:val="00191140"/>
    <w:rsid w:val="00191660"/>
    <w:rsid w:val="001916AA"/>
    <w:rsid w:val="0019248D"/>
    <w:rsid w:val="001924A8"/>
    <w:rsid w:val="001928A4"/>
    <w:rsid w:val="00192DBD"/>
    <w:rsid w:val="001935E5"/>
    <w:rsid w:val="001937C4"/>
    <w:rsid w:val="00194118"/>
    <w:rsid w:val="00194393"/>
    <w:rsid w:val="00194866"/>
    <w:rsid w:val="001949AA"/>
    <w:rsid w:val="00194F7C"/>
    <w:rsid w:val="001959DA"/>
    <w:rsid w:val="00196B39"/>
    <w:rsid w:val="00197070"/>
    <w:rsid w:val="001972BB"/>
    <w:rsid w:val="001979BA"/>
    <w:rsid w:val="001A009A"/>
    <w:rsid w:val="001A0186"/>
    <w:rsid w:val="001A0A05"/>
    <w:rsid w:val="001A1138"/>
    <w:rsid w:val="001A13FA"/>
    <w:rsid w:val="001A1732"/>
    <w:rsid w:val="001A2094"/>
    <w:rsid w:val="001A20E8"/>
    <w:rsid w:val="001A214A"/>
    <w:rsid w:val="001A2CE9"/>
    <w:rsid w:val="001A3153"/>
    <w:rsid w:val="001A3A05"/>
    <w:rsid w:val="001A3ADF"/>
    <w:rsid w:val="001A3E18"/>
    <w:rsid w:val="001A3FCC"/>
    <w:rsid w:val="001A43DE"/>
    <w:rsid w:val="001A45B6"/>
    <w:rsid w:val="001A4748"/>
    <w:rsid w:val="001A570F"/>
    <w:rsid w:val="001A7EEF"/>
    <w:rsid w:val="001A7F1F"/>
    <w:rsid w:val="001B005B"/>
    <w:rsid w:val="001B00C3"/>
    <w:rsid w:val="001B01FE"/>
    <w:rsid w:val="001B04CF"/>
    <w:rsid w:val="001B1079"/>
    <w:rsid w:val="001B1818"/>
    <w:rsid w:val="001B1976"/>
    <w:rsid w:val="001B1D1B"/>
    <w:rsid w:val="001B2538"/>
    <w:rsid w:val="001B2A3F"/>
    <w:rsid w:val="001B2FAE"/>
    <w:rsid w:val="001B3448"/>
    <w:rsid w:val="001B3617"/>
    <w:rsid w:val="001B385C"/>
    <w:rsid w:val="001B386F"/>
    <w:rsid w:val="001B3DA3"/>
    <w:rsid w:val="001B3E53"/>
    <w:rsid w:val="001B4796"/>
    <w:rsid w:val="001B4A0C"/>
    <w:rsid w:val="001B4DC2"/>
    <w:rsid w:val="001B53DE"/>
    <w:rsid w:val="001B552B"/>
    <w:rsid w:val="001B5A50"/>
    <w:rsid w:val="001B6423"/>
    <w:rsid w:val="001B7184"/>
    <w:rsid w:val="001B7855"/>
    <w:rsid w:val="001B7FE6"/>
    <w:rsid w:val="001C0093"/>
    <w:rsid w:val="001C0DCA"/>
    <w:rsid w:val="001C112A"/>
    <w:rsid w:val="001C11C5"/>
    <w:rsid w:val="001C2C97"/>
    <w:rsid w:val="001C2E71"/>
    <w:rsid w:val="001C2FA4"/>
    <w:rsid w:val="001C3A7B"/>
    <w:rsid w:val="001C3F32"/>
    <w:rsid w:val="001C41C8"/>
    <w:rsid w:val="001C48B6"/>
    <w:rsid w:val="001C4C04"/>
    <w:rsid w:val="001C4EA8"/>
    <w:rsid w:val="001C501A"/>
    <w:rsid w:val="001C57FF"/>
    <w:rsid w:val="001C59C0"/>
    <w:rsid w:val="001C5FEE"/>
    <w:rsid w:val="001C694F"/>
    <w:rsid w:val="001C6C9C"/>
    <w:rsid w:val="001C7098"/>
    <w:rsid w:val="001C70DB"/>
    <w:rsid w:val="001C721E"/>
    <w:rsid w:val="001C72CA"/>
    <w:rsid w:val="001D0CAA"/>
    <w:rsid w:val="001D1172"/>
    <w:rsid w:val="001D1230"/>
    <w:rsid w:val="001D136D"/>
    <w:rsid w:val="001D1CF1"/>
    <w:rsid w:val="001D1E3C"/>
    <w:rsid w:val="001D1E4C"/>
    <w:rsid w:val="001D21DD"/>
    <w:rsid w:val="001D288E"/>
    <w:rsid w:val="001D28CC"/>
    <w:rsid w:val="001D2907"/>
    <w:rsid w:val="001D2C58"/>
    <w:rsid w:val="001D3305"/>
    <w:rsid w:val="001D3368"/>
    <w:rsid w:val="001D3524"/>
    <w:rsid w:val="001D3951"/>
    <w:rsid w:val="001D3BA3"/>
    <w:rsid w:val="001D3ED8"/>
    <w:rsid w:val="001D4665"/>
    <w:rsid w:val="001D4741"/>
    <w:rsid w:val="001D49E2"/>
    <w:rsid w:val="001D4EF3"/>
    <w:rsid w:val="001D557C"/>
    <w:rsid w:val="001D5683"/>
    <w:rsid w:val="001D6554"/>
    <w:rsid w:val="001D6893"/>
    <w:rsid w:val="001D6EE5"/>
    <w:rsid w:val="001D6FBA"/>
    <w:rsid w:val="001D7432"/>
    <w:rsid w:val="001D7B52"/>
    <w:rsid w:val="001D7E4E"/>
    <w:rsid w:val="001E053E"/>
    <w:rsid w:val="001E0592"/>
    <w:rsid w:val="001E0875"/>
    <w:rsid w:val="001E093F"/>
    <w:rsid w:val="001E1335"/>
    <w:rsid w:val="001E137B"/>
    <w:rsid w:val="001E1C9F"/>
    <w:rsid w:val="001E1D6B"/>
    <w:rsid w:val="001E204B"/>
    <w:rsid w:val="001E2495"/>
    <w:rsid w:val="001E2579"/>
    <w:rsid w:val="001E2E97"/>
    <w:rsid w:val="001E3994"/>
    <w:rsid w:val="001E3AAF"/>
    <w:rsid w:val="001E40D3"/>
    <w:rsid w:val="001E4619"/>
    <w:rsid w:val="001E4EEE"/>
    <w:rsid w:val="001E52DF"/>
    <w:rsid w:val="001E60BA"/>
    <w:rsid w:val="001E6318"/>
    <w:rsid w:val="001E64D0"/>
    <w:rsid w:val="001E6CDF"/>
    <w:rsid w:val="001E702D"/>
    <w:rsid w:val="001E722B"/>
    <w:rsid w:val="001E7281"/>
    <w:rsid w:val="001E77C1"/>
    <w:rsid w:val="001E7948"/>
    <w:rsid w:val="001E7CE4"/>
    <w:rsid w:val="001F0268"/>
    <w:rsid w:val="001F0A04"/>
    <w:rsid w:val="001F0A6E"/>
    <w:rsid w:val="001F0C68"/>
    <w:rsid w:val="001F0D23"/>
    <w:rsid w:val="001F0E4E"/>
    <w:rsid w:val="001F1E66"/>
    <w:rsid w:val="001F1FDB"/>
    <w:rsid w:val="001F2814"/>
    <w:rsid w:val="001F28BE"/>
    <w:rsid w:val="001F39FA"/>
    <w:rsid w:val="001F3E57"/>
    <w:rsid w:val="001F4655"/>
    <w:rsid w:val="001F4C3C"/>
    <w:rsid w:val="001F5154"/>
    <w:rsid w:val="001F58DD"/>
    <w:rsid w:val="001F66DD"/>
    <w:rsid w:val="001F6A1C"/>
    <w:rsid w:val="001F6AED"/>
    <w:rsid w:val="001F6C44"/>
    <w:rsid w:val="001F7A6A"/>
    <w:rsid w:val="00200097"/>
    <w:rsid w:val="0020019F"/>
    <w:rsid w:val="0020021B"/>
    <w:rsid w:val="002007E8"/>
    <w:rsid w:val="00200A4B"/>
    <w:rsid w:val="00200D33"/>
    <w:rsid w:val="0020168A"/>
    <w:rsid w:val="002018CC"/>
    <w:rsid w:val="00201BC1"/>
    <w:rsid w:val="00201BCB"/>
    <w:rsid w:val="00201F24"/>
    <w:rsid w:val="00202234"/>
    <w:rsid w:val="00202A04"/>
    <w:rsid w:val="00202BFE"/>
    <w:rsid w:val="00202DBE"/>
    <w:rsid w:val="00203585"/>
    <w:rsid w:val="00203BD2"/>
    <w:rsid w:val="00204670"/>
    <w:rsid w:val="00205034"/>
    <w:rsid w:val="00205197"/>
    <w:rsid w:val="00205708"/>
    <w:rsid w:val="0020574A"/>
    <w:rsid w:val="0020593D"/>
    <w:rsid w:val="002059A3"/>
    <w:rsid w:val="002059AC"/>
    <w:rsid w:val="00205B37"/>
    <w:rsid w:val="00205D29"/>
    <w:rsid w:val="00205F6E"/>
    <w:rsid w:val="00206083"/>
    <w:rsid w:val="00206118"/>
    <w:rsid w:val="00206480"/>
    <w:rsid w:val="00206F1B"/>
    <w:rsid w:val="0020735B"/>
    <w:rsid w:val="00207832"/>
    <w:rsid w:val="00207B07"/>
    <w:rsid w:val="00207B26"/>
    <w:rsid w:val="00207B98"/>
    <w:rsid w:val="00210001"/>
    <w:rsid w:val="00210338"/>
    <w:rsid w:val="002104E5"/>
    <w:rsid w:val="0021052C"/>
    <w:rsid w:val="002105DC"/>
    <w:rsid w:val="00210B04"/>
    <w:rsid w:val="00210F7A"/>
    <w:rsid w:val="0021106D"/>
    <w:rsid w:val="0021162B"/>
    <w:rsid w:val="00211C19"/>
    <w:rsid w:val="00211F6A"/>
    <w:rsid w:val="00212535"/>
    <w:rsid w:val="00213E2F"/>
    <w:rsid w:val="00213E32"/>
    <w:rsid w:val="00214276"/>
    <w:rsid w:val="00214A26"/>
    <w:rsid w:val="00214D69"/>
    <w:rsid w:val="00215A57"/>
    <w:rsid w:val="00215B4D"/>
    <w:rsid w:val="00215B74"/>
    <w:rsid w:val="00216492"/>
    <w:rsid w:val="0021698A"/>
    <w:rsid w:val="002169FF"/>
    <w:rsid w:val="00216AA5"/>
    <w:rsid w:val="00220307"/>
    <w:rsid w:val="00220309"/>
    <w:rsid w:val="00220365"/>
    <w:rsid w:val="00220CEB"/>
    <w:rsid w:val="00220D79"/>
    <w:rsid w:val="00220FFE"/>
    <w:rsid w:val="002212F6"/>
    <w:rsid w:val="002217FA"/>
    <w:rsid w:val="00221BA5"/>
    <w:rsid w:val="002226F5"/>
    <w:rsid w:val="00222980"/>
    <w:rsid w:val="00223030"/>
    <w:rsid w:val="0022333F"/>
    <w:rsid w:val="00223621"/>
    <w:rsid w:val="002241A2"/>
    <w:rsid w:val="00224700"/>
    <w:rsid w:val="00224D19"/>
    <w:rsid w:val="00225BFD"/>
    <w:rsid w:val="00225E1B"/>
    <w:rsid w:val="00225EA8"/>
    <w:rsid w:val="00225EC5"/>
    <w:rsid w:val="00226061"/>
    <w:rsid w:val="0022617E"/>
    <w:rsid w:val="00226320"/>
    <w:rsid w:val="002267BC"/>
    <w:rsid w:val="00226DF4"/>
    <w:rsid w:val="002273DE"/>
    <w:rsid w:val="00227861"/>
    <w:rsid w:val="00227F96"/>
    <w:rsid w:val="00230C82"/>
    <w:rsid w:val="00231E9C"/>
    <w:rsid w:val="00231F87"/>
    <w:rsid w:val="002322DE"/>
    <w:rsid w:val="0023260A"/>
    <w:rsid w:val="00232E32"/>
    <w:rsid w:val="00232F28"/>
    <w:rsid w:val="002333D7"/>
    <w:rsid w:val="002337FB"/>
    <w:rsid w:val="0023443C"/>
    <w:rsid w:val="0023457A"/>
    <w:rsid w:val="0023458C"/>
    <w:rsid w:val="002345B4"/>
    <w:rsid w:val="00234DFB"/>
    <w:rsid w:val="00235187"/>
    <w:rsid w:val="00236150"/>
    <w:rsid w:val="00236166"/>
    <w:rsid w:val="00236A3C"/>
    <w:rsid w:val="00236EF6"/>
    <w:rsid w:val="00237DCE"/>
    <w:rsid w:val="002409D7"/>
    <w:rsid w:val="00240B17"/>
    <w:rsid w:val="00240E5B"/>
    <w:rsid w:val="00241680"/>
    <w:rsid w:val="00241969"/>
    <w:rsid w:val="00241D00"/>
    <w:rsid w:val="00241D78"/>
    <w:rsid w:val="00242092"/>
    <w:rsid w:val="00242225"/>
    <w:rsid w:val="0024248F"/>
    <w:rsid w:val="002430F2"/>
    <w:rsid w:val="00244AE9"/>
    <w:rsid w:val="0024516A"/>
    <w:rsid w:val="00245337"/>
    <w:rsid w:val="00245B96"/>
    <w:rsid w:val="00245C2C"/>
    <w:rsid w:val="002463C0"/>
    <w:rsid w:val="002463E2"/>
    <w:rsid w:val="002463FA"/>
    <w:rsid w:val="00246DAE"/>
    <w:rsid w:val="00247AE0"/>
    <w:rsid w:val="00247DCE"/>
    <w:rsid w:val="00247FB6"/>
    <w:rsid w:val="00250281"/>
    <w:rsid w:val="00250C01"/>
    <w:rsid w:val="00250C9D"/>
    <w:rsid w:val="00250D8B"/>
    <w:rsid w:val="00251B97"/>
    <w:rsid w:val="00251CE5"/>
    <w:rsid w:val="002521DC"/>
    <w:rsid w:val="0025238A"/>
    <w:rsid w:val="00252859"/>
    <w:rsid w:val="00253319"/>
    <w:rsid w:val="00253508"/>
    <w:rsid w:val="002538B4"/>
    <w:rsid w:val="002538E3"/>
    <w:rsid w:val="00253C18"/>
    <w:rsid w:val="00253EDB"/>
    <w:rsid w:val="00254CEC"/>
    <w:rsid w:val="00255593"/>
    <w:rsid w:val="00255907"/>
    <w:rsid w:val="0025592E"/>
    <w:rsid w:val="00255B96"/>
    <w:rsid w:val="00255C24"/>
    <w:rsid w:val="002567DA"/>
    <w:rsid w:val="00256D88"/>
    <w:rsid w:val="00257354"/>
    <w:rsid w:val="002573FE"/>
    <w:rsid w:val="002574DA"/>
    <w:rsid w:val="00257699"/>
    <w:rsid w:val="00257DB8"/>
    <w:rsid w:val="0026009E"/>
    <w:rsid w:val="0026065F"/>
    <w:rsid w:val="00260802"/>
    <w:rsid w:val="002609B6"/>
    <w:rsid w:val="002615EF"/>
    <w:rsid w:val="00261723"/>
    <w:rsid w:val="002617C8"/>
    <w:rsid w:val="002617F3"/>
    <w:rsid w:val="00261925"/>
    <w:rsid w:val="00261A38"/>
    <w:rsid w:val="002632D7"/>
    <w:rsid w:val="0026386A"/>
    <w:rsid w:val="002638CD"/>
    <w:rsid w:val="00263A2E"/>
    <w:rsid w:val="00263C3D"/>
    <w:rsid w:val="00264000"/>
    <w:rsid w:val="0026417F"/>
    <w:rsid w:val="0026424B"/>
    <w:rsid w:val="0026442E"/>
    <w:rsid w:val="00264F12"/>
    <w:rsid w:val="0026552C"/>
    <w:rsid w:val="0026561A"/>
    <w:rsid w:val="002656A2"/>
    <w:rsid w:val="00265B35"/>
    <w:rsid w:val="00265F07"/>
    <w:rsid w:val="00265FB6"/>
    <w:rsid w:val="00267125"/>
    <w:rsid w:val="00267178"/>
    <w:rsid w:val="00267993"/>
    <w:rsid w:val="00267B22"/>
    <w:rsid w:val="0027097C"/>
    <w:rsid w:val="00270BF9"/>
    <w:rsid w:val="002711B5"/>
    <w:rsid w:val="00271C10"/>
    <w:rsid w:val="00271CB6"/>
    <w:rsid w:val="002722EA"/>
    <w:rsid w:val="0027248A"/>
    <w:rsid w:val="00272E2D"/>
    <w:rsid w:val="00272F3B"/>
    <w:rsid w:val="0027301A"/>
    <w:rsid w:val="002735FF"/>
    <w:rsid w:val="00273748"/>
    <w:rsid w:val="00273809"/>
    <w:rsid w:val="0027381F"/>
    <w:rsid w:val="00273A8F"/>
    <w:rsid w:val="002744AA"/>
    <w:rsid w:val="0027494B"/>
    <w:rsid w:val="00274CB5"/>
    <w:rsid w:val="00274FAF"/>
    <w:rsid w:val="00275456"/>
    <w:rsid w:val="002755FD"/>
    <w:rsid w:val="00276ECC"/>
    <w:rsid w:val="002771C6"/>
    <w:rsid w:val="00277FA1"/>
    <w:rsid w:val="00280846"/>
    <w:rsid w:val="00280CA4"/>
    <w:rsid w:val="002812F8"/>
    <w:rsid w:val="002815DF"/>
    <w:rsid w:val="00281E5E"/>
    <w:rsid w:val="002821A0"/>
    <w:rsid w:val="0028233E"/>
    <w:rsid w:val="00282AC5"/>
    <w:rsid w:val="00282DB1"/>
    <w:rsid w:val="00283878"/>
    <w:rsid w:val="00283BFE"/>
    <w:rsid w:val="00283D51"/>
    <w:rsid w:val="002840F4"/>
    <w:rsid w:val="00284149"/>
    <w:rsid w:val="00284D3F"/>
    <w:rsid w:val="0028552D"/>
    <w:rsid w:val="00285733"/>
    <w:rsid w:val="00285983"/>
    <w:rsid w:val="00285B3D"/>
    <w:rsid w:val="00286AD9"/>
    <w:rsid w:val="00286AF4"/>
    <w:rsid w:val="0028765E"/>
    <w:rsid w:val="0028769B"/>
    <w:rsid w:val="00287BB2"/>
    <w:rsid w:val="00287D0A"/>
    <w:rsid w:val="00287D22"/>
    <w:rsid w:val="00290164"/>
    <w:rsid w:val="0029037D"/>
    <w:rsid w:val="002906AC"/>
    <w:rsid w:val="00290D32"/>
    <w:rsid w:val="00291189"/>
    <w:rsid w:val="002911C7"/>
    <w:rsid w:val="002916B5"/>
    <w:rsid w:val="00291936"/>
    <w:rsid w:val="00291A77"/>
    <w:rsid w:val="00291ABA"/>
    <w:rsid w:val="00291AC3"/>
    <w:rsid w:val="00291E18"/>
    <w:rsid w:val="002923A3"/>
    <w:rsid w:val="0029266A"/>
    <w:rsid w:val="002926AC"/>
    <w:rsid w:val="002927E7"/>
    <w:rsid w:val="00292A58"/>
    <w:rsid w:val="002931C6"/>
    <w:rsid w:val="0029332D"/>
    <w:rsid w:val="0029345B"/>
    <w:rsid w:val="002937D4"/>
    <w:rsid w:val="00293AE8"/>
    <w:rsid w:val="00293B20"/>
    <w:rsid w:val="00293D30"/>
    <w:rsid w:val="00293FFC"/>
    <w:rsid w:val="00294348"/>
    <w:rsid w:val="00294C1A"/>
    <w:rsid w:val="00294E14"/>
    <w:rsid w:val="00294F3F"/>
    <w:rsid w:val="002950EF"/>
    <w:rsid w:val="00295713"/>
    <w:rsid w:val="00295EB3"/>
    <w:rsid w:val="002961D6"/>
    <w:rsid w:val="00296B6D"/>
    <w:rsid w:val="00296D4E"/>
    <w:rsid w:val="00296E2A"/>
    <w:rsid w:val="00296F0D"/>
    <w:rsid w:val="0029788D"/>
    <w:rsid w:val="00297E77"/>
    <w:rsid w:val="00297F8F"/>
    <w:rsid w:val="002A015B"/>
    <w:rsid w:val="002A0235"/>
    <w:rsid w:val="002A046D"/>
    <w:rsid w:val="002A0487"/>
    <w:rsid w:val="002A0D02"/>
    <w:rsid w:val="002A1164"/>
    <w:rsid w:val="002A127F"/>
    <w:rsid w:val="002A17C6"/>
    <w:rsid w:val="002A18C1"/>
    <w:rsid w:val="002A19C7"/>
    <w:rsid w:val="002A1D8D"/>
    <w:rsid w:val="002A280B"/>
    <w:rsid w:val="002A2822"/>
    <w:rsid w:val="002A3043"/>
    <w:rsid w:val="002A3A9F"/>
    <w:rsid w:val="002A3D1E"/>
    <w:rsid w:val="002A4265"/>
    <w:rsid w:val="002A471F"/>
    <w:rsid w:val="002A50DF"/>
    <w:rsid w:val="002A51E3"/>
    <w:rsid w:val="002A566E"/>
    <w:rsid w:val="002A5B83"/>
    <w:rsid w:val="002A611E"/>
    <w:rsid w:val="002A7034"/>
    <w:rsid w:val="002A70D5"/>
    <w:rsid w:val="002A7E55"/>
    <w:rsid w:val="002B0A65"/>
    <w:rsid w:val="002B0CB2"/>
    <w:rsid w:val="002B0CDE"/>
    <w:rsid w:val="002B0CF8"/>
    <w:rsid w:val="002B138E"/>
    <w:rsid w:val="002B1424"/>
    <w:rsid w:val="002B1A68"/>
    <w:rsid w:val="002B210B"/>
    <w:rsid w:val="002B2446"/>
    <w:rsid w:val="002B2760"/>
    <w:rsid w:val="002B2A87"/>
    <w:rsid w:val="002B2E88"/>
    <w:rsid w:val="002B2EE9"/>
    <w:rsid w:val="002B34DB"/>
    <w:rsid w:val="002B39B4"/>
    <w:rsid w:val="002B3ACD"/>
    <w:rsid w:val="002B3F95"/>
    <w:rsid w:val="002B4A88"/>
    <w:rsid w:val="002B50AB"/>
    <w:rsid w:val="002B56FD"/>
    <w:rsid w:val="002B5A35"/>
    <w:rsid w:val="002B5A36"/>
    <w:rsid w:val="002B5DF2"/>
    <w:rsid w:val="002B5E72"/>
    <w:rsid w:val="002B60CC"/>
    <w:rsid w:val="002B7727"/>
    <w:rsid w:val="002B7D8F"/>
    <w:rsid w:val="002B7EB0"/>
    <w:rsid w:val="002C006A"/>
    <w:rsid w:val="002C1258"/>
    <w:rsid w:val="002C17A8"/>
    <w:rsid w:val="002C1A01"/>
    <w:rsid w:val="002C1AD1"/>
    <w:rsid w:val="002C2C44"/>
    <w:rsid w:val="002C42F6"/>
    <w:rsid w:val="002C476F"/>
    <w:rsid w:val="002C4CF4"/>
    <w:rsid w:val="002C4E77"/>
    <w:rsid w:val="002C4E86"/>
    <w:rsid w:val="002C54C1"/>
    <w:rsid w:val="002C5622"/>
    <w:rsid w:val="002C5E97"/>
    <w:rsid w:val="002C6278"/>
    <w:rsid w:val="002C661C"/>
    <w:rsid w:val="002C6793"/>
    <w:rsid w:val="002C72B3"/>
    <w:rsid w:val="002C78B4"/>
    <w:rsid w:val="002C7B23"/>
    <w:rsid w:val="002C7E55"/>
    <w:rsid w:val="002D04FB"/>
    <w:rsid w:val="002D07BF"/>
    <w:rsid w:val="002D1444"/>
    <w:rsid w:val="002D14AB"/>
    <w:rsid w:val="002D1B50"/>
    <w:rsid w:val="002D2096"/>
    <w:rsid w:val="002D21D8"/>
    <w:rsid w:val="002D2457"/>
    <w:rsid w:val="002D2DFB"/>
    <w:rsid w:val="002D35B7"/>
    <w:rsid w:val="002D40A7"/>
    <w:rsid w:val="002D44BD"/>
    <w:rsid w:val="002D4A25"/>
    <w:rsid w:val="002D4A4B"/>
    <w:rsid w:val="002D5117"/>
    <w:rsid w:val="002D5122"/>
    <w:rsid w:val="002D5A85"/>
    <w:rsid w:val="002D5A93"/>
    <w:rsid w:val="002D5AAD"/>
    <w:rsid w:val="002D5CA9"/>
    <w:rsid w:val="002D6565"/>
    <w:rsid w:val="002D6984"/>
    <w:rsid w:val="002D6BF6"/>
    <w:rsid w:val="002D6CFB"/>
    <w:rsid w:val="002D6DBE"/>
    <w:rsid w:val="002D7673"/>
    <w:rsid w:val="002D78B4"/>
    <w:rsid w:val="002D7C8E"/>
    <w:rsid w:val="002E04AB"/>
    <w:rsid w:val="002E1455"/>
    <w:rsid w:val="002E15A7"/>
    <w:rsid w:val="002E160F"/>
    <w:rsid w:val="002E16FA"/>
    <w:rsid w:val="002E1EE8"/>
    <w:rsid w:val="002E2016"/>
    <w:rsid w:val="002E205A"/>
    <w:rsid w:val="002E2074"/>
    <w:rsid w:val="002E276E"/>
    <w:rsid w:val="002E2B74"/>
    <w:rsid w:val="002E2FFE"/>
    <w:rsid w:val="002E3873"/>
    <w:rsid w:val="002E3A34"/>
    <w:rsid w:val="002E3B9D"/>
    <w:rsid w:val="002E3EEA"/>
    <w:rsid w:val="002E3F91"/>
    <w:rsid w:val="002E40C5"/>
    <w:rsid w:val="002E4709"/>
    <w:rsid w:val="002E480D"/>
    <w:rsid w:val="002E4FD4"/>
    <w:rsid w:val="002E5386"/>
    <w:rsid w:val="002E544D"/>
    <w:rsid w:val="002E5BC7"/>
    <w:rsid w:val="002E5F6B"/>
    <w:rsid w:val="002E606B"/>
    <w:rsid w:val="002E60B3"/>
    <w:rsid w:val="002E6499"/>
    <w:rsid w:val="002E649F"/>
    <w:rsid w:val="002E6A82"/>
    <w:rsid w:val="002E6DA0"/>
    <w:rsid w:val="002E7459"/>
    <w:rsid w:val="002E7544"/>
    <w:rsid w:val="002E7C0B"/>
    <w:rsid w:val="002E7F19"/>
    <w:rsid w:val="002E7F1D"/>
    <w:rsid w:val="002E7FE4"/>
    <w:rsid w:val="002F04F6"/>
    <w:rsid w:val="002F079E"/>
    <w:rsid w:val="002F084D"/>
    <w:rsid w:val="002F09C3"/>
    <w:rsid w:val="002F0A9A"/>
    <w:rsid w:val="002F0D0C"/>
    <w:rsid w:val="002F1A15"/>
    <w:rsid w:val="002F1B69"/>
    <w:rsid w:val="002F1CE6"/>
    <w:rsid w:val="002F1DAD"/>
    <w:rsid w:val="002F2B06"/>
    <w:rsid w:val="002F308B"/>
    <w:rsid w:val="002F3699"/>
    <w:rsid w:val="002F3A33"/>
    <w:rsid w:val="002F3B04"/>
    <w:rsid w:val="002F4811"/>
    <w:rsid w:val="002F48A7"/>
    <w:rsid w:val="002F6672"/>
    <w:rsid w:val="002F68FE"/>
    <w:rsid w:val="002F6A58"/>
    <w:rsid w:val="002F70BE"/>
    <w:rsid w:val="002F717F"/>
    <w:rsid w:val="002F767E"/>
    <w:rsid w:val="002F7EB1"/>
    <w:rsid w:val="0030042A"/>
    <w:rsid w:val="00301935"/>
    <w:rsid w:val="00301CAE"/>
    <w:rsid w:val="00302138"/>
    <w:rsid w:val="0030256E"/>
    <w:rsid w:val="00302A6E"/>
    <w:rsid w:val="003035ED"/>
    <w:rsid w:val="0030374E"/>
    <w:rsid w:val="00303864"/>
    <w:rsid w:val="00303B99"/>
    <w:rsid w:val="00303DF2"/>
    <w:rsid w:val="00304AEA"/>
    <w:rsid w:val="00304B56"/>
    <w:rsid w:val="003051D8"/>
    <w:rsid w:val="00305F81"/>
    <w:rsid w:val="00306BFA"/>
    <w:rsid w:val="00307DBE"/>
    <w:rsid w:val="003105D9"/>
    <w:rsid w:val="003109E1"/>
    <w:rsid w:val="00310B4A"/>
    <w:rsid w:val="00310EA9"/>
    <w:rsid w:val="00311D0A"/>
    <w:rsid w:val="00311ECD"/>
    <w:rsid w:val="0031219D"/>
    <w:rsid w:val="00313147"/>
    <w:rsid w:val="00313253"/>
    <w:rsid w:val="0031358C"/>
    <w:rsid w:val="00313B45"/>
    <w:rsid w:val="00313E32"/>
    <w:rsid w:val="003141E8"/>
    <w:rsid w:val="0031420A"/>
    <w:rsid w:val="00314264"/>
    <w:rsid w:val="00314319"/>
    <w:rsid w:val="00314CA9"/>
    <w:rsid w:val="003156BC"/>
    <w:rsid w:val="00315A6C"/>
    <w:rsid w:val="00315A92"/>
    <w:rsid w:val="00315CA8"/>
    <w:rsid w:val="00316485"/>
    <w:rsid w:val="00316D00"/>
    <w:rsid w:val="0031715D"/>
    <w:rsid w:val="00317B83"/>
    <w:rsid w:val="00317F1B"/>
    <w:rsid w:val="00317F67"/>
    <w:rsid w:val="00320345"/>
    <w:rsid w:val="003203D7"/>
    <w:rsid w:val="00320A68"/>
    <w:rsid w:val="0032192E"/>
    <w:rsid w:val="00321A1D"/>
    <w:rsid w:val="00322A3E"/>
    <w:rsid w:val="00322D41"/>
    <w:rsid w:val="003238C3"/>
    <w:rsid w:val="0032398B"/>
    <w:rsid w:val="00323E6D"/>
    <w:rsid w:val="00324781"/>
    <w:rsid w:val="00324BCD"/>
    <w:rsid w:val="00324F30"/>
    <w:rsid w:val="00325023"/>
    <w:rsid w:val="00325119"/>
    <w:rsid w:val="0032533F"/>
    <w:rsid w:val="00325FD8"/>
    <w:rsid w:val="003265B9"/>
    <w:rsid w:val="003265FC"/>
    <w:rsid w:val="00326BC3"/>
    <w:rsid w:val="00327232"/>
    <w:rsid w:val="003273F9"/>
    <w:rsid w:val="0032779A"/>
    <w:rsid w:val="00327985"/>
    <w:rsid w:val="00327D07"/>
    <w:rsid w:val="00327DD2"/>
    <w:rsid w:val="00330864"/>
    <w:rsid w:val="0033103B"/>
    <w:rsid w:val="003310F0"/>
    <w:rsid w:val="00331182"/>
    <w:rsid w:val="00332AB2"/>
    <w:rsid w:val="00332C60"/>
    <w:rsid w:val="00332E43"/>
    <w:rsid w:val="00332E62"/>
    <w:rsid w:val="00333B87"/>
    <w:rsid w:val="00333D81"/>
    <w:rsid w:val="003342E1"/>
    <w:rsid w:val="003343F8"/>
    <w:rsid w:val="00334852"/>
    <w:rsid w:val="00335189"/>
    <w:rsid w:val="0033550F"/>
    <w:rsid w:val="00335F37"/>
    <w:rsid w:val="00335F46"/>
    <w:rsid w:val="0033678D"/>
    <w:rsid w:val="00337031"/>
    <w:rsid w:val="00337355"/>
    <w:rsid w:val="003373DB"/>
    <w:rsid w:val="003375E8"/>
    <w:rsid w:val="0033777C"/>
    <w:rsid w:val="0033795C"/>
    <w:rsid w:val="0034018E"/>
    <w:rsid w:val="00340192"/>
    <w:rsid w:val="003403C0"/>
    <w:rsid w:val="0034062D"/>
    <w:rsid w:val="00340692"/>
    <w:rsid w:val="00340D71"/>
    <w:rsid w:val="00340EE0"/>
    <w:rsid w:val="00340FFA"/>
    <w:rsid w:val="003412B1"/>
    <w:rsid w:val="003415B6"/>
    <w:rsid w:val="00341B71"/>
    <w:rsid w:val="00342322"/>
    <w:rsid w:val="003426BF"/>
    <w:rsid w:val="00342A21"/>
    <w:rsid w:val="00342AA1"/>
    <w:rsid w:val="00342CB9"/>
    <w:rsid w:val="00343032"/>
    <w:rsid w:val="00343533"/>
    <w:rsid w:val="0034385C"/>
    <w:rsid w:val="00343A5B"/>
    <w:rsid w:val="00343ADA"/>
    <w:rsid w:val="00343C3E"/>
    <w:rsid w:val="00343C73"/>
    <w:rsid w:val="00343CEB"/>
    <w:rsid w:val="00343DE8"/>
    <w:rsid w:val="00343FE5"/>
    <w:rsid w:val="00344637"/>
    <w:rsid w:val="00344BEF"/>
    <w:rsid w:val="00344C69"/>
    <w:rsid w:val="00344F82"/>
    <w:rsid w:val="0034545C"/>
    <w:rsid w:val="0034567C"/>
    <w:rsid w:val="00345AA4"/>
    <w:rsid w:val="003466A3"/>
    <w:rsid w:val="00346C68"/>
    <w:rsid w:val="0034712C"/>
    <w:rsid w:val="0034750F"/>
    <w:rsid w:val="00347598"/>
    <w:rsid w:val="0034783E"/>
    <w:rsid w:val="00347E8E"/>
    <w:rsid w:val="00350615"/>
    <w:rsid w:val="00350BED"/>
    <w:rsid w:val="00350E1F"/>
    <w:rsid w:val="003520F3"/>
    <w:rsid w:val="00352541"/>
    <w:rsid w:val="00352C88"/>
    <w:rsid w:val="003531F5"/>
    <w:rsid w:val="00353F8F"/>
    <w:rsid w:val="00354A36"/>
    <w:rsid w:val="00354B78"/>
    <w:rsid w:val="00354BBC"/>
    <w:rsid w:val="00355EDF"/>
    <w:rsid w:val="0035658A"/>
    <w:rsid w:val="0035735C"/>
    <w:rsid w:val="0035758E"/>
    <w:rsid w:val="00357ADD"/>
    <w:rsid w:val="00357DC7"/>
    <w:rsid w:val="00357F1D"/>
    <w:rsid w:val="00360444"/>
    <w:rsid w:val="00360501"/>
    <w:rsid w:val="0036051A"/>
    <w:rsid w:val="003605F6"/>
    <w:rsid w:val="00360F4E"/>
    <w:rsid w:val="00361551"/>
    <w:rsid w:val="0036159D"/>
    <w:rsid w:val="003617C5"/>
    <w:rsid w:val="003622CC"/>
    <w:rsid w:val="00362847"/>
    <w:rsid w:val="003629E4"/>
    <w:rsid w:val="003631BF"/>
    <w:rsid w:val="003636C3"/>
    <w:rsid w:val="003639AA"/>
    <w:rsid w:val="00363AB5"/>
    <w:rsid w:val="00363CE5"/>
    <w:rsid w:val="00363E13"/>
    <w:rsid w:val="00364141"/>
    <w:rsid w:val="003648BA"/>
    <w:rsid w:val="00364911"/>
    <w:rsid w:val="00364A00"/>
    <w:rsid w:val="00364F4B"/>
    <w:rsid w:val="003651B9"/>
    <w:rsid w:val="00365C7D"/>
    <w:rsid w:val="00365F02"/>
    <w:rsid w:val="00365FC6"/>
    <w:rsid w:val="003664F7"/>
    <w:rsid w:val="00366705"/>
    <w:rsid w:val="00366B4E"/>
    <w:rsid w:val="00366FD0"/>
    <w:rsid w:val="0036700A"/>
    <w:rsid w:val="00367017"/>
    <w:rsid w:val="003671ED"/>
    <w:rsid w:val="00367783"/>
    <w:rsid w:val="00367D72"/>
    <w:rsid w:val="00367EF6"/>
    <w:rsid w:val="003701D9"/>
    <w:rsid w:val="00370241"/>
    <w:rsid w:val="00370FE8"/>
    <w:rsid w:val="0037125D"/>
    <w:rsid w:val="003713EA"/>
    <w:rsid w:val="003716C9"/>
    <w:rsid w:val="00371B46"/>
    <w:rsid w:val="00371E7E"/>
    <w:rsid w:val="00371EF6"/>
    <w:rsid w:val="00371F5D"/>
    <w:rsid w:val="00372512"/>
    <w:rsid w:val="003739C6"/>
    <w:rsid w:val="00373A6B"/>
    <w:rsid w:val="00373F2A"/>
    <w:rsid w:val="00374B6B"/>
    <w:rsid w:val="00374D92"/>
    <w:rsid w:val="003751AD"/>
    <w:rsid w:val="00375278"/>
    <w:rsid w:val="00376236"/>
    <w:rsid w:val="003766C9"/>
    <w:rsid w:val="00376A71"/>
    <w:rsid w:val="00377222"/>
    <w:rsid w:val="0037754C"/>
    <w:rsid w:val="003778BE"/>
    <w:rsid w:val="003779A2"/>
    <w:rsid w:val="003800AF"/>
    <w:rsid w:val="0038139C"/>
    <w:rsid w:val="00381BE5"/>
    <w:rsid w:val="00381E84"/>
    <w:rsid w:val="003823E1"/>
    <w:rsid w:val="0038245E"/>
    <w:rsid w:val="00382604"/>
    <w:rsid w:val="00382798"/>
    <w:rsid w:val="00382CEB"/>
    <w:rsid w:val="00383436"/>
    <w:rsid w:val="00383CAA"/>
    <w:rsid w:val="003842E9"/>
    <w:rsid w:val="00384CB4"/>
    <w:rsid w:val="00384DBB"/>
    <w:rsid w:val="00384E09"/>
    <w:rsid w:val="003859E2"/>
    <w:rsid w:val="00385B97"/>
    <w:rsid w:val="00386157"/>
    <w:rsid w:val="00386912"/>
    <w:rsid w:val="00386AAC"/>
    <w:rsid w:val="00386ADE"/>
    <w:rsid w:val="00386C8D"/>
    <w:rsid w:val="00386D22"/>
    <w:rsid w:val="003878C9"/>
    <w:rsid w:val="0039027E"/>
    <w:rsid w:val="003905FA"/>
    <w:rsid w:val="00390D0A"/>
    <w:rsid w:val="00390F03"/>
    <w:rsid w:val="003911FA"/>
    <w:rsid w:val="00391AB2"/>
    <w:rsid w:val="00391E14"/>
    <w:rsid w:val="0039268E"/>
    <w:rsid w:val="003936AA"/>
    <w:rsid w:val="00393B69"/>
    <w:rsid w:val="00393C0E"/>
    <w:rsid w:val="00393CCD"/>
    <w:rsid w:val="003945AA"/>
    <w:rsid w:val="00394F77"/>
    <w:rsid w:val="00394FB5"/>
    <w:rsid w:val="0039545C"/>
    <w:rsid w:val="003959F6"/>
    <w:rsid w:val="00395C8F"/>
    <w:rsid w:val="0039620E"/>
    <w:rsid w:val="0039628D"/>
    <w:rsid w:val="003963D1"/>
    <w:rsid w:val="00396DE4"/>
    <w:rsid w:val="00396E8A"/>
    <w:rsid w:val="003979FF"/>
    <w:rsid w:val="003A0282"/>
    <w:rsid w:val="003A05B0"/>
    <w:rsid w:val="003A0745"/>
    <w:rsid w:val="003A0AD2"/>
    <w:rsid w:val="003A0D0D"/>
    <w:rsid w:val="003A1506"/>
    <w:rsid w:val="003A1ED1"/>
    <w:rsid w:val="003A2584"/>
    <w:rsid w:val="003A2654"/>
    <w:rsid w:val="003A29A9"/>
    <w:rsid w:val="003A2D48"/>
    <w:rsid w:val="003A2FDC"/>
    <w:rsid w:val="003A3116"/>
    <w:rsid w:val="003A337E"/>
    <w:rsid w:val="003A3FB0"/>
    <w:rsid w:val="003A44C6"/>
    <w:rsid w:val="003A4581"/>
    <w:rsid w:val="003A4824"/>
    <w:rsid w:val="003A4E63"/>
    <w:rsid w:val="003A521B"/>
    <w:rsid w:val="003A5367"/>
    <w:rsid w:val="003A54A7"/>
    <w:rsid w:val="003A56F6"/>
    <w:rsid w:val="003A71A0"/>
    <w:rsid w:val="003A728F"/>
    <w:rsid w:val="003A73C1"/>
    <w:rsid w:val="003A7599"/>
    <w:rsid w:val="003A79B2"/>
    <w:rsid w:val="003A7B29"/>
    <w:rsid w:val="003B0055"/>
    <w:rsid w:val="003B01FD"/>
    <w:rsid w:val="003B0224"/>
    <w:rsid w:val="003B09A5"/>
    <w:rsid w:val="003B0A07"/>
    <w:rsid w:val="003B0D27"/>
    <w:rsid w:val="003B1FB8"/>
    <w:rsid w:val="003B2188"/>
    <w:rsid w:val="003B219B"/>
    <w:rsid w:val="003B2B65"/>
    <w:rsid w:val="003B32C1"/>
    <w:rsid w:val="003B3876"/>
    <w:rsid w:val="003B3A4B"/>
    <w:rsid w:val="003B3F08"/>
    <w:rsid w:val="003B3F39"/>
    <w:rsid w:val="003B4586"/>
    <w:rsid w:val="003B4605"/>
    <w:rsid w:val="003B479C"/>
    <w:rsid w:val="003B47AE"/>
    <w:rsid w:val="003B48C0"/>
    <w:rsid w:val="003B4AE0"/>
    <w:rsid w:val="003B5096"/>
    <w:rsid w:val="003B55DE"/>
    <w:rsid w:val="003B5C47"/>
    <w:rsid w:val="003B5C6D"/>
    <w:rsid w:val="003B5CBE"/>
    <w:rsid w:val="003B5DF2"/>
    <w:rsid w:val="003B6D97"/>
    <w:rsid w:val="003B7226"/>
    <w:rsid w:val="003B74E1"/>
    <w:rsid w:val="003B7793"/>
    <w:rsid w:val="003B77EF"/>
    <w:rsid w:val="003B791E"/>
    <w:rsid w:val="003B7EA4"/>
    <w:rsid w:val="003C0231"/>
    <w:rsid w:val="003C0AA6"/>
    <w:rsid w:val="003C0E45"/>
    <w:rsid w:val="003C0FBB"/>
    <w:rsid w:val="003C1379"/>
    <w:rsid w:val="003C13D9"/>
    <w:rsid w:val="003C181E"/>
    <w:rsid w:val="003C1A51"/>
    <w:rsid w:val="003C1DA1"/>
    <w:rsid w:val="003C2524"/>
    <w:rsid w:val="003C299C"/>
    <w:rsid w:val="003C2A40"/>
    <w:rsid w:val="003C3FB6"/>
    <w:rsid w:val="003C493E"/>
    <w:rsid w:val="003C4C35"/>
    <w:rsid w:val="003C502C"/>
    <w:rsid w:val="003C5103"/>
    <w:rsid w:val="003C53FB"/>
    <w:rsid w:val="003C5994"/>
    <w:rsid w:val="003C5CFB"/>
    <w:rsid w:val="003C5E76"/>
    <w:rsid w:val="003C5FD7"/>
    <w:rsid w:val="003C609E"/>
    <w:rsid w:val="003C6275"/>
    <w:rsid w:val="003C62F2"/>
    <w:rsid w:val="003C6304"/>
    <w:rsid w:val="003C65E9"/>
    <w:rsid w:val="003C6615"/>
    <w:rsid w:val="003C674E"/>
    <w:rsid w:val="003C67AD"/>
    <w:rsid w:val="003C6AD6"/>
    <w:rsid w:val="003C6CE4"/>
    <w:rsid w:val="003C6DB1"/>
    <w:rsid w:val="003C709C"/>
    <w:rsid w:val="003C7CDD"/>
    <w:rsid w:val="003D0233"/>
    <w:rsid w:val="003D023E"/>
    <w:rsid w:val="003D035A"/>
    <w:rsid w:val="003D040E"/>
    <w:rsid w:val="003D084B"/>
    <w:rsid w:val="003D1078"/>
    <w:rsid w:val="003D129F"/>
    <w:rsid w:val="003D12D0"/>
    <w:rsid w:val="003D1688"/>
    <w:rsid w:val="003D17B8"/>
    <w:rsid w:val="003D1D93"/>
    <w:rsid w:val="003D23B8"/>
    <w:rsid w:val="003D2C66"/>
    <w:rsid w:val="003D4284"/>
    <w:rsid w:val="003D4382"/>
    <w:rsid w:val="003D43E5"/>
    <w:rsid w:val="003D472E"/>
    <w:rsid w:val="003D47AF"/>
    <w:rsid w:val="003D4C30"/>
    <w:rsid w:val="003D5314"/>
    <w:rsid w:val="003D57A2"/>
    <w:rsid w:val="003D584E"/>
    <w:rsid w:val="003D6109"/>
    <w:rsid w:val="003D64BB"/>
    <w:rsid w:val="003D65D1"/>
    <w:rsid w:val="003D6C15"/>
    <w:rsid w:val="003D6D9F"/>
    <w:rsid w:val="003D717C"/>
    <w:rsid w:val="003D729D"/>
    <w:rsid w:val="003D7493"/>
    <w:rsid w:val="003D7BC9"/>
    <w:rsid w:val="003E036D"/>
    <w:rsid w:val="003E06EC"/>
    <w:rsid w:val="003E0894"/>
    <w:rsid w:val="003E0F62"/>
    <w:rsid w:val="003E1085"/>
    <w:rsid w:val="003E182E"/>
    <w:rsid w:val="003E189D"/>
    <w:rsid w:val="003E220A"/>
    <w:rsid w:val="003E26F1"/>
    <w:rsid w:val="003E3374"/>
    <w:rsid w:val="003E3915"/>
    <w:rsid w:val="003E3F1A"/>
    <w:rsid w:val="003E4012"/>
    <w:rsid w:val="003E4132"/>
    <w:rsid w:val="003E4181"/>
    <w:rsid w:val="003E4719"/>
    <w:rsid w:val="003E4927"/>
    <w:rsid w:val="003E4D76"/>
    <w:rsid w:val="003E5379"/>
    <w:rsid w:val="003E55B1"/>
    <w:rsid w:val="003E55C3"/>
    <w:rsid w:val="003E5730"/>
    <w:rsid w:val="003E67F6"/>
    <w:rsid w:val="003E6D56"/>
    <w:rsid w:val="003E6E03"/>
    <w:rsid w:val="003E74B0"/>
    <w:rsid w:val="003E7520"/>
    <w:rsid w:val="003E7DE1"/>
    <w:rsid w:val="003E7FDE"/>
    <w:rsid w:val="003F004A"/>
    <w:rsid w:val="003F0289"/>
    <w:rsid w:val="003F048E"/>
    <w:rsid w:val="003F092F"/>
    <w:rsid w:val="003F0AE3"/>
    <w:rsid w:val="003F0F7F"/>
    <w:rsid w:val="003F1437"/>
    <w:rsid w:val="003F185C"/>
    <w:rsid w:val="003F18B1"/>
    <w:rsid w:val="003F1DD8"/>
    <w:rsid w:val="003F2446"/>
    <w:rsid w:val="003F2479"/>
    <w:rsid w:val="003F2D4E"/>
    <w:rsid w:val="003F305B"/>
    <w:rsid w:val="003F3197"/>
    <w:rsid w:val="003F367F"/>
    <w:rsid w:val="003F36A3"/>
    <w:rsid w:val="003F3915"/>
    <w:rsid w:val="003F3950"/>
    <w:rsid w:val="003F3A4A"/>
    <w:rsid w:val="003F46DC"/>
    <w:rsid w:val="003F5CD4"/>
    <w:rsid w:val="003F675F"/>
    <w:rsid w:val="003F6883"/>
    <w:rsid w:val="003F6896"/>
    <w:rsid w:val="003F6C4D"/>
    <w:rsid w:val="003F6E6A"/>
    <w:rsid w:val="003F6F05"/>
    <w:rsid w:val="003F7C89"/>
    <w:rsid w:val="00400200"/>
    <w:rsid w:val="0040056C"/>
    <w:rsid w:val="004011D9"/>
    <w:rsid w:val="00401A9B"/>
    <w:rsid w:val="004021C4"/>
    <w:rsid w:val="004021DF"/>
    <w:rsid w:val="00402317"/>
    <w:rsid w:val="00402E00"/>
    <w:rsid w:val="00402EE4"/>
    <w:rsid w:val="004036E0"/>
    <w:rsid w:val="004037DD"/>
    <w:rsid w:val="00403D15"/>
    <w:rsid w:val="00403EDC"/>
    <w:rsid w:val="00404062"/>
    <w:rsid w:val="00404065"/>
    <w:rsid w:val="0040443F"/>
    <w:rsid w:val="00404B16"/>
    <w:rsid w:val="00405329"/>
    <w:rsid w:val="004053E1"/>
    <w:rsid w:val="004055C9"/>
    <w:rsid w:val="00405763"/>
    <w:rsid w:val="00405971"/>
    <w:rsid w:val="00406952"/>
    <w:rsid w:val="00407603"/>
    <w:rsid w:val="004076F7"/>
    <w:rsid w:val="00407F1C"/>
    <w:rsid w:val="004101D3"/>
    <w:rsid w:val="0041144F"/>
    <w:rsid w:val="004119BA"/>
    <w:rsid w:val="004122ED"/>
    <w:rsid w:val="00412C7A"/>
    <w:rsid w:val="00413089"/>
    <w:rsid w:val="004130BD"/>
    <w:rsid w:val="004135AE"/>
    <w:rsid w:val="00413961"/>
    <w:rsid w:val="00413DFC"/>
    <w:rsid w:val="0041402E"/>
    <w:rsid w:val="004143C3"/>
    <w:rsid w:val="00414DDA"/>
    <w:rsid w:val="00414DF1"/>
    <w:rsid w:val="00414E9B"/>
    <w:rsid w:val="0041506F"/>
    <w:rsid w:val="00415D0B"/>
    <w:rsid w:val="00415D58"/>
    <w:rsid w:val="00415EAC"/>
    <w:rsid w:val="00415F27"/>
    <w:rsid w:val="00416A59"/>
    <w:rsid w:val="00416D8E"/>
    <w:rsid w:val="00416EE0"/>
    <w:rsid w:val="004170DD"/>
    <w:rsid w:val="0041775A"/>
    <w:rsid w:val="00417CA8"/>
    <w:rsid w:val="00420140"/>
    <w:rsid w:val="0042021B"/>
    <w:rsid w:val="004202BA"/>
    <w:rsid w:val="004202D8"/>
    <w:rsid w:val="004204FC"/>
    <w:rsid w:val="004206DB"/>
    <w:rsid w:val="0042080B"/>
    <w:rsid w:val="00421408"/>
    <w:rsid w:val="004217F5"/>
    <w:rsid w:val="0042190C"/>
    <w:rsid w:val="00421A70"/>
    <w:rsid w:val="00421E20"/>
    <w:rsid w:val="0042210A"/>
    <w:rsid w:val="00422721"/>
    <w:rsid w:val="00422A84"/>
    <w:rsid w:val="004230DE"/>
    <w:rsid w:val="00423888"/>
    <w:rsid w:val="00423B4A"/>
    <w:rsid w:val="00423F44"/>
    <w:rsid w:val="004246E7"/>
    <w:rsid w:val="004248BC"/>
    <w:rsid w:val="00424B9F"/>
    <w:rsid w:val="00424D8A"/>
    <w:rsid w:val="00424EA3"/>
    <w:rsid w:val="0042502A"/>
    <w:rsid w:val="004251F8"/>
    <w:rsid w:val="00425359"/>
    <w:rsid w:val="00425856"/>
    <w:rsid w:val="00425D26"/>
    <w:rsid w:val="00425FB1"/>
    <w:rsid w:val="00426BA6"/>
    <w:rsid w:val="00427410"/>
    <w:rsid w:val="0042746B"/>
    <w:rsid w:val="00427965"/>
    <w:rsid w:val="00427990"/>
    <w:rsid w:val="00427A6C"/>
    <w:rsid w:val="00427CAD"/>
    <w:rsid w:val="004307A2"/>
    <w:rsid w:val="00430FD9"/>
    <w:rsid w:val="00430FDB"/>
    <w:rsid w:val="00431129"/>
    <w:rsid w:val="00431629"/>
    <w:rsid w:val="004316D7"/>
    <w:rsid w:val="00431740"/>
    <w:rsid w:val="00431AB4"/>
    <w:rsid w:val="00431B71"/>
    <w:rsid w:val="00431C55"/>
    <w:rsid w:val="00431EDA"/>
    <w:rsid w:val="00431F33"/>
    <w:rsid w:val="0043231C"/>
    <w:rsid w:val="00432470"/>
    <w:rsid w:val="004325D0"/>
    <w:rsid w:val="00432837"/>
    <w:rsid w:val="00432A3E"/>
    <w:rsid w:val="00432C72"/>
    <w:rsid w:val="00432CE2"/>
    <w:rsid w:val="00433207"/>
    <w:rsid w:val="00433596"/>
    <w:rsid w:val="0043396E"/>
    <w:rsid w:val="00433A09"/>
    <w:rsid w:val="00433ACB"/>
    <w:rsid w:val="004350B5"/>
    <w:rsid w:val="00435447"/>
    <w:rsid w:val="00435BB2"/>
    <w:rsid w:val="00435E31"/>
    <w:rsid w:val="00435EA4"/>
    <w:rsid w:val="00435EDE"/>
    <w:rsid w:val="00436225"/>
    <w:rsid w:val="00436341"/>
    <w:rsid w:val="00436ACB"/>
    <w:rsid w:val="004370AA"/>
    <w:rsid w:val="00437CC5"/>
    <w:rsid w:val="00437D87"/>
    <w:rsid w:val="00440D8A"/>
    <w:rsid w:val="00441A6B"/>
    <w:rsid w:val="00441EA1"/>
    <w:rsid w:val="0044294C"/>
    <w:rsid w:val="0044307F"/>
    <w:rsid w:val="004434E3"/>
    <w:rsid w:val="00443B3B"/>
    <w:rsid w:val="00443D53"/>
    <w:rsid w:val="00443E2F"/>
    <w:rsid w:val="00444222"/>
    <w:rsid w:val="0044424E"/>
    <w:rsid w:val="00445418"/>
    <w:rsid w:val="0044564C"/>
    <w:rsid w:val="00445798"/>
    <w:rsid w:val="0044582F"/>
    <w:rsid w:val="00445CD5"/>
    <w:rsid w:val="00446448"/>
    <w:rsid w:val="00446E40"/>
    <w:rsid w:val="0044725C"/>
    <w:rsid w:val="00447465"/>
    <w:rsid w:val="0044760B"/>
    <w:rsid w:val="00447915"/>
    <w:rsid w:val="004479B1"/>
    <w:rsid w:val="004505C1"/>
    <w:rsid w:val="004507B8"/>
    <w:rsid w:val="00450CD0"/>
    <w:rsid w:val="00451065"/>
    <w:rsid w:val="0045133B"/>
    <w:rsid w:val="00452011"/>
    <w:rsid w:val="00452D4A"/>
    <w:rsid w:val="00453647"/>
    <w:rsid w:val="0045384E"/>
    <w:rsid w:val="00453C82"/>
    <w:rsid w:val="00453EC6"/>
    <w:rsid w:val="004546BE"/>
    <w:rsid w:val="00454825"/>
    <w:rsid w:val="004549EA"/>
    <w:rsid w:val="00454B41"/>
    <w:rsid w:val="00454CC0"/>
    <w:rsid w:val="0045512F"/>
    <w:rsid w:val="0045540E"/>
    <w:rsid w:val="00455494"/>
    <w:rsid w:val="004556C4"/>
    <w:rsid w:val="00455AB5"/>
    <w:rsid w:val="00455CBE"/>
    <w:rsid w:val="00455D0F"/>
    <w:rsid w:val="00455EB7"/>
    <w:rsid w:val="00455FD5"/>
    <w:rsid w:val="004566A5"/>
    <w:rsid w:val="0045671B"/>
    <w:rsid w:val="00456864"/>
    <w:rsid w:val="0045770C"/>
    <w:rsid w:val="00457B6F"/>
    <w:rsid w:val="00457CC6"/>
    <w:rsid w:val="004602E1"/>
    <w:rsid w:val="0046036D"/>
    <w:rsid w:val="004609C2"/>
    <w:rsid w:val="00460E8A"/>
    <w:rsid w:val="004617D7"/>
    <w:rsid w:val="00462126"/>
    <w:rsid w:val="0046230A"/>
    <w:rsid w:val="00462472"/>
    <w:rsid w:val="00462707"/>
    <w:rsid w:val="004627FF"/>
    <w:rsid w:val="004629B8"/>
    <w:rsid w:val="00462C95"/>
    <w:rsid w:val="00462E4C"/>
    <w:rsid w:val="0046324C"/>
    <w:rsid w:val="004634B2"/>
    <w:rsid w:val="004637E9"/>
    <w:rsid w:val="00463B0A"/>
    <w:rsid w:val="00463CFB"/>
    <w:rsid w:val="0046405C"/>
    <w:rsid w:val="0046486A"/>
    <w:rsid w:val="004649EB"/>
    <w:rsid w:val="00464AAF"/>
    <w:rsid w:val="00464B78"/>
    <w:rsid w:val="00464D4C"/>
    <w:rsid w:val="00464E7E"/>
    <w:rsid w:val="00464FEC"/>
    <w:rsid w:val="004650C7"/>
    <w:rsid w:val="004653C5"/>
    <w:rsid w:val="004655C3"/>
    <w:rsid w:val="00465694"/>
    <w:rsid w:val="00465909"/>
    <w:rsid w:val="00465AED"/>
    <w:rsid w:val="00465B92"/>
    <w:rsid w:val="0046697C"/>
    <w:rsid w:val="00466F3B"/>
    <w:rsid w:val="0046744C"/>
    <w:rsid w:val="004674F5"/>
    <w:rsid w:val="00467518"/>
    <w:rsid w:val="00470871"/>
    <w:rsid w:val="00470C8A"/>
    <w:rsid w:val="00471425"/>
    <w:rsid w:val="00471443"/>
    <w:rsid w:val="00471DCA"/>
    <w:rsid w:val="00472103"/>
    <w:rsid w:val="004728ED"/>
    <w:rsid w:val="004737D0"/>
    <w:rsid w:val="004742F7"/>
    <w:rsid w:val="00474479"/>
    <w:rsid w:val="004748A4"/>
    <w:rsid w:val="00474B7D"/>
    <w:rsid w:val="00474F4B"/>
    <w:rsid w:val="004750E0"/>
    <w:rsid w:val="00475448"/>
    <w:rsid w:val="0047562F"/>
    <w:rsid w:val="00475ACE"/>
    <w:rsid w:val="00475C7D"/>
    <w:rsid w:val="00475EB4"/>
    <w:rsid w:val="004767F6"/>
    <w:rsid w:val="00476C51"/>
    <w:rsid w:val="00476CBE"/>
    <w:rsid w:val="004773FC"/>
    <w:rsid w:val="00477623"/>
    <w:rsid w:val="00477EF4"/>
    <w:rsid w:val="00480227"/>
    <w:rsid w:val="00480328"/>
    <w:rsid w:val="004804EA"/>
    <w:rsid w:val="00480563"/>
    <w:rsid w:val="004809A1"/>
    <w:rsid w:val="00480BDE"/>
    <w:rsid w:val="004810AF"/>
    <w:rsid w:val="0048110E"/>
    <w:rsid w:val="00482163"/>
    <w:rsid w:val="00482AA9"/>
    <w:rsid w:val="00482FAB"/>
    <w:rsid w:val="004830F4"/>
    <w:rsid w:val="0048332C"/>
    <w:rsid w:val="004834FC"/>
    <w:rsid w:val="0048396A"/>
    <w:rsid w:val="00483B15"/>
    <w:rsid w:val="00483FB9"/>
    <w:rsid w:val="00484114"/>
    <w:rsid w:val="004845C8"/>
    <w:rsid w:val="004849BE"/>
    <w:rsid w:val="00484BCF"/>
    <w:rsid w:val="00484CF0"/>
    <w:rsid w:val="004852FF"/>
    <w:rsid w:val="00485F62"/>
    <w:rsid w:val="004866B0"/>
    <w:rsid w:val="00486C44"/>
    <w:rsid w:val="004875F1"/>
    <w:rsid w:val="004877D8"/>
    <w:rsid w:val="00487AD4"/>
    <w:rsid w:val="00487F0F"/>
    <w:rsid w:val="004903FB"/>
    <w:rsid w:val="004905E4"/>
    <w:rsid w:val="00490F5E"/>
    <w:rsid w:val="00491176"/>
    <w:rsid w:val="004912F1"/>
    <w:rsid w:val="004913E1"/>
    <w:rsid w:val="0049176A"/>
    <w:rsid w:val="004919E4"/>
    <w:rsid w:val="00491F90"/>
    <w:rsid w:val="0049237B"/>
    <w:rsid w:val="00492C93"/>
    <w:rsid w:val="00492E29"/>
    <w:rsid w:val="00492EA0"/>
    <w:rsid w:val="00493D8E"/>
    <w:rsid w:val="00493D94"/>
    <w:rsid w:val="004946CD"/>
    <w:rsid w:val="00494AE7"/>
    <w:rsid w:val="00494E37"/>
    <w:rsid w:val="00495898"/>
    <w:rsid w:val="00495CE5"/>
    <w:rsid w:val="00495E53"/>
    <w:rsid w:val="00495FC7"/>
    <w:rsid w:val="0049669A"/>
    <w:rsid w:val="00496877"/>
    <w:rsid w:val="00496B3C"/>
    <w:rsid w:val="00496CB6"/>
    <w:rsid w:val="00496E36"/>
    <w:rsid w:val="00497195"/>
    <w:rsid w:val="00497437"/>
    <w:rsid w:val="004974D8"/>
    <w:rsid w:val="004977C7"/>
    <w:rsid w:val="004A03F8"/>
    <w:rsid w:val="004A0860"/>
    <w:rsid w:val="004A0955"/>
    <w:rsid w:val="004A1174"/>
    <w:rsid w:val="004A13C4"/>
    <w:rsid w:val="004A17C9"/>
    <w:rsid w:val="004A1BC0"/>
    <w:rsid w:val="004A1F98"/>
    <w:rsid w:val="004A2CC5"/>
    <w:rsid w:val="004A32CC"/>
    <w:rsid w:val="004A3794"/>
    <w:rsid w:val="004A4A13"/>
    <w:rsid w:val="004A4C06"/>
    <w:rsid w:val="004A5319"/>
    <w:rsid w:val="004A57D7"/>
    <w:rsid w:val="004A57DB"/>
    <w:rsid w:val="004A57F5"/>
    <w:rsid w:val="004A5A6C"/>
    <w:rsid w:val="004A5D92"/>
    <w:rsid w:val="004A68E6"/>
    <w:rsid w:val="004A6AA4"/>
    <w:rsid w:val="004A7264"/>
    <w:rsid w:val="004A781C"/>
    <w:rsid w:val="004A796C"/>
    <w:rsid w:val="004A7AB7"/>
    <w:rsid w:val="004A7BBC"/>
    <w:rsid w:val="004A7DEB"/>
    <w:rsid w:val="004A7F9E"/>
    <w:rsid w:val="004B0381"/>
    <w:rsid w:val="004B05B0"/>
    <w:rsid w:val="004B0ACE"/>
    <w:rsid w:val="004B0CAC"/>
    <w:rsid w:val="004B0F13"/>
    <w:rsid w:val="004B14FC"/>
    <w:rsid w:val="004B19B5"/>
    <w:rsid w:val="004B1D7D"/>
    <w:rsid w:val="004B1DFD"/>
    <w:rsid w:val="004B2677"/>
    <w:rsid w:val="004B2E86"/>
    <w:rsid w:val="004B2F0E"/>
    <w:rsid w:val="004B3088"/>
    <w:rsid w:val="004B32A8"/>
    <w:rsid w:val="004B32F7"/>
    <w:rsid w:val="004B36B9"/>
    <w:rsid w:val="004B37BA"/>
    <w:rsid w:val="004B3A83"/>
    <w:rsid w:val="004B4040"/>
    <w:rsid w:val="004B4467"/>
    <w:rsid w:val="004B460A"/>
    <w:rsid w:val="004B4ABD"/>
    <w:rsid w:val="004B4F03"/>
    <w:rsid w:val="004B4FAA"/>
    <w:rsid w:val="004B553B"/>
    <w:rsid w:val="004B68C4"/>
    <w:rsid w:val="004B6B1E"/>
    <w:rsid w:val="004B72B3"/>
    <w:rsid w:val="004C0212"/>
    <w:rsid w:val="004C05F9"/>
    <w:rsid w:val="004C0B32"/>
    <w:rsid w:val="004C106D"/>
    <w:rsid w:val="004C1573"/>
    <w:rsid w:val="004C18FD"/>
    <w:rsid w:val="004C1A24"/>
    <w:rsid w:val="004C2751"/>
    <w:rsid w:val="004C2864"/>
    <w:rsid w:val="004C2AB1"/>
    <w:rsid w:val="004C2BFF"/>
    <w:rsid w:val="004C30A7"/>
    <w:rsid w:val="004C31C2"/>
    <w:rsid w:val="004C34FE"/>
    <w:rsid w:val="004C362A"/>
    <w:rsid w:val="004C3805"/>
    <w:rsid w:val="004C38B7"/>
    <w:rsid w:val="004C41A0"/>
    <w:rsid w:val="004C4681"/>
    <w:rsid w:val="004C49F0"/>
    <w:rsid w:val="004C4E2D"/>
    <w:rsid w:val="004C4F8F"/>
    <w:rsid w:val="004C52CE"/>
    <w:rsid w:val="004C592C"/>
    <w:rsid w:val="004C6779"/>
    <w:rsid w:val="004C77A7"/>
    <w:rsid w:val="004C7919"/>
    <w:rsid w:val="004C79F9"/>
    <w:rsid w:val="004D00EA"/>
    <w:rsid w:val="004D03B4"/>
    <w:rsid w:val="004D067A"/>
    <w:rsid w:val="004D0D16"/>
    <w:rsid w:val="004D133F"/>
    <w:rsid w:val="004D1916"/>
    <w:rsid w:val="004D2BC8"/>
    <w:rsid w:val="004D2FA5"/>
    <w:rsid w:val="004D31CA"/>
    <w:rsid w:val="004D3268"/>
    <w:rsid w:val="004D374E"/>
    <w:rsid w:val="004D3804"/>
    <w:rsid w:val="004D38D3"/>
    <w:rsid w:val="004D39AE"/>
    <w:rsid w:val="004D43DF"/>
    <w:rsid w:val="004D5BA1"/>
    <w:rsid w:val="004D6968"/>
    <w:rsid w:val="004D6DCA"/>
    <w:rsid w:val="004D715C"/>
    <w:rsid w:val="004D7205"/>
    <w:rsid w:val="004D7273"/>
    <w:rsid w:val="004D7340"/>
    <w:rsid w:val="004D79E0"/>
    <w:rsid w:val="004D7BDA"/>
    <w:rsid w:val="004D7EDB"/>
    <w:rsid w:val="004E0034"/>
    <w:rsid w:val="004E0194"/>
    <w:rsid w:val="004E0B11"/>
    <w:rsid w:val="004E0E99"/>
    <w:rsid w:val="004E1045"/>
    <w:rsid w:val="004E1325"/>
    <w:rsid w:val="004E13D4"/>
    <w:rsid w:val="004E1532"/>
    <w:rsid w:val="004E1898"/>
    <w:rsid w:val="004E1905"/>
    <w:rsid w:val="004E1D1C"/>
    <w:rsid w:val="004E1E6B"/>
    <w:rsid w:val="004E2308"/>
    <w:rsid w:val="004E2404"/>
    <w:rsid w:val="004E2628"/>
    <w:rsid w:val="004E2A2E"/>
    <w:rsid w:val="004E2F37"/>
    <w:rsid w:val="004E3BF3"/>
    <w:rsid w:val="004E4437"/>
    <w:rsid w:val="004E48A6"/>
    <w:rsid w:val="004E4A16"/>
    <w:rsid w:val="004E4B22"/>
    <w:rsid w:val="004E4B97"/>
    <w:rsid w:val="004E51A8"/>
    <w:rsid w:val="004E52AA"/>
    <w:rsid w:val="004E54DA"/>
    <w:rsid w:val="004E5811"/>
    <w:rsid w:val="004E6DFE"/>
    <w:rsid w:val="004E6FA6"/>
    <w:rsid w:val="004E7030"/>
    <w:rsid w:val="004E70F0"/>
    <w:rsid w:val="004E72FB"/>
    <w:rsid w:val="004EE66A"/>
    <w:rsid w:val="004F0A3B"/>
    <w:rsid w:val="004F0BDB"/>
    <w:rsid w:val="004F0C21"/>
    <w:rsid w:val="004F116D"/>
    <w:rsid w:val="004F1177"/>
    <w:rsid w:val="004F1294"/>
    <w:rsid w:val="004F1299"/>
    <w:rsid w:val="004F16B4"/>
    <w:rsid w:val="004F19FD"/>
    <w:rsid w:val="004F1A89"/>
    <w:rsid w:val="004F1AA3"/>
    <w:rsid w:val="004F20C3"/>
    <w:rsid w:val="004F2445"/>
    <w:rsid w:val="004F2620"/>
    <w:rsid w:val="004F2773"/>
    <w:rsid w:val="004F299C"/>
    <w:rsid w:val="004F2E9D"/>
    <w:rsid w:val="004F39CA"/>
    <w:rsid w:val="004F45F2"/>
    <w:rsid w:val="004F4978"/>
    <w:rsid w:val="004F563A"/>
    <w:rsid w:val="004F56C3"/>
    <w:rsid w:val="004F5DF9"/>
    <w:rsid w:val="004F6042"/>
    <w:rsid w:val="004F622F"/>
    <w:rsid w:val="004F65CC"/>
    <w:rsid w:val="004F66B4"/>
    <w:rsid w:val="004F6AA0"/>
    <w:rsid w:val="004F6C38"/>
    <w:rsid w:val="004F6F4F"/>
    <w:rsid w:val="004F737D"/>
    <w:rsid w:val="004F741E"/>
    <w:rsid w:val="004F78C6"/>
    <w:rsid w:val="004F7AE1"/>
    <w:rsid w:val="0050032A"/>
    <w:rsid w:val="00500584"/>
    <w:rsid w:val="005009C7"/>
    <w:rsid w:val="0050139A"/>
    <w:rsid w:val="005014F9"/>
    <w:rsid w:val="00501790"/>
    <w:rsid w:val="0050224C"/>
    <w:rsid w:val="005024BD"/>
    <w:rsid w:val="0050256B"/>
    <w:rsid w:val="00502CEA"/>
    <w:rsid w:val="0050340D"/>
    <w:rsid w:val="005037A6"/>
    <w:rsid w:val="00503938"/>
    <w:rsid w:val="00503B43"/>
    <w:rsid w:val="00504A0B"/>
    <w:rsid w:val="005051B1"/>
    <w:rsid w:val="00505846"/>
    <w:rsid w:val="00505A4C"/>
    <w:rsid w:val="00506818"/>
    <w:rsid w:val="00506ABC"/>
    <w:rsid w:val="00506CBF"/>
    <w:rsid w:val="005072FA"/>
    <w:rsid w:val="0050734E"/>
    <w:rsid w:val="005076BB"/>
    <w:rsid w:val="005077D1"/>
    <w:rsid w:val="005079D6"/>
    <w:rsid w:val="005104ED"/>
    <w:rsid w:val="00510960"/>
    <w:rsid w:val="00510A57"/>
    <w:rsid w:val="005113BD"/>
    <w:rsid w:val="00511A69"/>
    <w:rsid w:val="00511E10"/>
    <w:rsid w:val="005127CE"/>
    <w:rsid w:val="005128F7"/>
    <w:rsid w:val="00512D53"/>
    <w:rsid w:val="005132A8"/>
    <w:rsid w:val="00513768"/>
    <w:rsid w:val="00513C6E"/>
    <w:rsid w:val="00514241"/>
    <w:rsid w:val="0051477F"/>
    <w:rsid w:val="00514811"/>
    <w:rsid w:val="00514883"/>
    <w:rsid w:val="00514CEC"/>
    <w:rsid w:val="005154BE"/>
    <w:rsid w:val="0051571F"/>
    <w:rsid w:val="00515BBC"/>
    <w:rsid w:val="00515DB7"/>
    <w:rsid w:val="00515FCA"/>
    <w:rsid w:val="005164CD"/>
    <w:rsid w:val="00516728"/>
    <w:rsid w:val="0051674B"/>
    <w:rsid w:val="00516B66"/>
    <w:rsid w:val="00516B96"/>
    <w:rsid w:val="00516E9E"/>
    <w:rsid w:val="00516EEE"/>
    <w:rsid w:val="00516F69"/>
    <w:rsid w:val="00516FFE"/>
    <w:rsid w:val="00517164"/>
    <w:rsid w:val="005175CE"/>
    <w:rsid w:val="00517D94"/>
    <w:rsid w:val="005201AC"/>
    <w:rsid w:val="00520754"/>
    <w:rsid w:val="00520D64"/>
    <w:rsid w:val="00521DA7"/>
    <w:rsid w:val="00521DFE"/>
    <w:rsid w:val="00522688"/>
    <w:rsid w:val="00522A76"/>
    <w:rsid w:val="0052346A"/>
    <w:rsid w:val="00523E99"/>
    <w:rsid w:val="0052410E"/>
    <w:rsid w:val="00524710"/>
    <w:rsid w:val="00524C7C"/>
    <w:rsid w:val="00525315"/>
    <w:rsid w:val="005259D4"/>
    <w:rsid w:val="00525A84"/>
    <w:rsid w:val="00525BE2"/>
    <w:rsid w:val="005268EB"/>
    <w:rsid w:val="00526B87"/>
    <w:rsid w:val="00526BD2"/>
    <w:rsid w:val="00526C3D"/>
    <w:rsid w:val="005273E0"/>
    <w:rsid w:val="005276CE"/>
    <w:rsid w:val="00527943"/>
    <w:rsid w:val="00527D57"/>
    <w:rsid w:val="00530AE8"/>
    <w:rsid w:val="0053119E"/>
    <w:rsid w:val="0053132E"/>
    <w:rsid w:val="00531425"/>
    <w:rsid w:val="00531B24"/>
    <w:rsid w:val="00531CCB"/>
    <w:rsid w:val="00532126"/>
    <w:rsid w:val="00532993"/>
    <w:rsid w:val="00532A04"/>
    <w:rsid w:val="00533750"/>
    <w:rsid w:val="005338DF"/>
    <w:rsid w:val="0053391D"/>
    <w:rsid w:val="00534987"/>
    <w:rsid w:val="0053498D"/>
    <w:rsid w:val="00534B33"/>
    <w:rsid w:val="00534BF6"/>
    <w:rsid w:val="00535461"/>
    <w:rsid w:val="005356C1"/>
    <w:rsid w:val="0053570E"/>
    <w:rsid w:val="00535A68"/>
    <w:rsid w:val="00535FF8"/>
    <w:rsid w:val="005360B6"/>
    <w:rsid w:val="00536419"/>
    <w:rsid w:val="0053643C"/>
    <w:rsid w:val="005364D1"/>
    <w:rsid w:val="00536923"/>
    <w:rsid w:val="00536CBE"/>
    <w:rsid w:val="005372AD"/>
    <w:rsid w:val="00537568"/>
    <w:rsid w:val="00537A7D"/>
    <w:rsid w:val="00537BE7"/>
    <w:rsid w:val="0054016D"/>
    <w:rsid w:val="005402E7"/>
    <w:rsid w:val="0054077F"/>
    <w:rsid w:val="00540973"/>
    <w:rsid w:val="00540A4E"/>
    <w:rsid w:val="005418E9"/>
    <w:rsid w:val="00541DB9"/>
    <w:rsid w:val="0054260A"/>
    <w:rsid w:val="00542A36"/>
    <w:rsid w:val="00543386"/>
    <w:rsid w:val="005434D7"/>
    <w:rsid w:val="00543736"/>
    <w:rsid w:val="0054384E"/>
    <w:rsid w:val="00543878"/>
    <w:rsid w:val="00543F6C"/>
    <w:rsid w:val="00544C09"/>
    <w:rsid w:val="00544EE7"/>
    <w:rsid w:val="00545836"/>
    <w:rsid w:val="00545ABB"/>
    <w:rsid w:val="00545B8E"/>
    <w:rsid w:val="0054646D"/>
    <w:rsid w:val="00547069"/>
    <w:rsid w:val="005475AB"/>
    <w:rsid w:val="00547E52"/>
    <w:rsid w:val="0055057F"/>
    <w:rsid w:val="00550903"/>
    <w:rsid w:val="00551646"/>
    <w:rsid w:val="00551CE8"/>
    <w:rsid w:val="00551F75"/>
    <w:rsid w:val="005520B4"/>
    <w:rsid w:val="005522B9"/>
    <w:rsid w:val="00552879"/>
    <w:rsid w:val="00552C98"/>
    <w:rsid w:val="00552E3F"/>
    <w:rsid w:val="00552F78"/>
    <w:rsid w:val="005532E6"/>
    <w:rsid w:val="00553389"/>
    <w:rsid w:val="00553622"/>
    <w:rsid w:val="005539FC"/>
    <w:rsid w:val="00553B36"/>
    <w:rsid w:val="00553C16"/>
    <w:rsid w:val="00553D9A"/>
    <w:rsid w:val="00553FAE"/>
    <w:rsid w:val="00554AA3"/>
    <w:rsid w:val="00554B59"/>
    <w:rsid w:val="00554F4E"/>
    <w:rsid w:val="00555496"/>
    <w:rsid w:val="005555D6"/>
    <w:rsid w:val="00555DB9"/>
    <w:rsid w:val="005569C3"/>
    <w:rsid w:val="00556A1F"/>
    <w:rsid w:val="00556D01"/>
    <w:rsid w:val="00556E8F"/>
    <w:rsid w:val="00557403"/>
    <w:rsid w:val="00557405"/>
    <w:rsid w:val="00557B3A"/>
    <w:rsid w:val="00560149"/>
    <w:rsid w:val="0056038A"/>
    <w:rsid w:val="00560575"/>
    <w:rsid w:val="0056091A"/>
    <w:rsid w:val="00561103"/>
    <w:rsid w:val="00561B3E"/>
    <w:rsid w:val="00561B6B"/>
    <w:rsid w:val="00561B8E"/>
    <w:rsid w:val="00561C04"/>
    <w:rsid w:val="00561C8A"/>
    <w:rsid w:val="0056213B"/>
    <w:rsid w:val="00562331"/>
    <w:rsid w:val="00562B21"/>
    <w:rsid w:val="00562E08"/>
    <w:rsid w:val="00562F82"/>
    <w:rsid w:val="00563591"/>
    <w:rsid w:val="0056373B"/>
    <w:rsid w:val="0056383C"/>
    <w:rsid w:val="00563955"/>
    <w:rsid w:val="005648C7"/>
    <w:rsid w:val="00564913"/>
    <w:rsid w:val="00564978"/>
    <w:rsid w:val="005652D1"/>
    <w:rsid w:val="00565AD2"/>
    <w:rsid w:val="005663FC"/>
    <w:rsid w:val="00566D4D"/>
    <w:rsid w:val="00566D73"/>
    <w:rsid w:val="00567C15"/>
    <w:rsid w:val="0057070D"/>
    <w:rsid w:val="00570B5A"/>
    <w:rsid w:val="00570DD6"/>
    <w:rsid w:val="00571372"/>
    <w:rsid w:val="005717D2"/>
    <w:rsid w:val="0057249A"/>
    <w:rsid w:val="00572580"/>
    <w:rsid w:val="00572663"/>
    <w:rsid w:val="00572B3B"/>
    <w:rsid w:val="00572EE5"/>
    <w:rsid w:val="00573B09"/>
    <w:rsid w:val="00573BD8"/>
    <w:rsid w:val="00575326"/>
    <w:rsid w:val="0057585B"/>
    <w:rsid w:val="00575FA2"/>
    <w:rsid w:val="00576256"/>
    <w:rsid w:val="005762B2"/>
    <w:rsid w:val="00576CC0"/>
    <w:rsid w:val="00577B8D"/>
    <w:rsid w:val="005800D8"/>
    <w:rsid w:val="005804ED"/>
    <w:rsid w:val="00580C15"/>
    <w:rsid w:val="00581347"/>
    <w:rsid w:val="00581492"/>
    <w:rsid w:val="00581688"/>
    <w:rsid w:val="005817F5"/>
    <w:rsid w:val="00581981"/>
    <w:rsid w:val="005819EE"/>
    <w:rsid w:val="00581E2F"/>
    <w:rsid w:val="00581EA5"/>
    <w:rsid w:val="0058251E"/>
    <w:rsid w:val="0058291F"/>
    <w:rsid w:val="00583C17"/>
    <w:rsid w:val="00584482"/>
    <w:rsid w:val="005844E8"/>
    <w:rsid w:val="005846C9"/>
    <w:rsid w:val="00584FA3"/>
    <w:rsid w:val="00585D07"/>
    <w:rsid w:val="00585EEB"/>
    <w:rsid w:val="00586906"/>
    <w:rsid w:val="005872CC"/>
    <w:rsid w:val="005873FC"/>
    <w:rsid w:val="00590646"/>
    <w:rsid w:val="00590B25"/>
    <w:rsid w:val="00590EAF"/>
    <w:rsid w:val="00590F5F"/>
    <w:rsid w:val="005910E0"/>
    <w:rsid w:val="0059158D"/>
    <w:rsid w:val="00591709"/>
    <w:rsid w:val="00591ADF"/>
    <w:rsid w:val="005921C1"/>
    <w:rsid w:val="005923EF"/>
    <w:rsid w:val="00592626"/>
    <w:rsid w:val="005926A6"/>
    <w:rsid w:val="00592AF6"/>
    <w:rsid w:val="00592C40"/>
    <w:rsid w:val="00592FEA"/>
    <w:rsid w:val="00593A7A"/>
    <w:rsid w:val="005941CA"/>
    <w:rsid w:val="00594802"/>
    <w:rsid w:val="0059549E"/>
    <w:rsid w:val="005954DF"/>
    <w:rsid w:val="005957DD"/>
    <w:rsid w:val="00595B24"/>
    <w:rsid w:val="00595DA6"/>
    <w:rsid w:val="005960B8"/>
    <w:rsid w:val="00596883"/>
    <w:rsid w:val="00596AF1"/>
    <w:rsid w:val="00596C72"/>
    <w:rsid w:val="00597898"/>
    <w:rsid w:val="00597AC2"/>
    <w:rsid w:val="00597CA8"/>
    <w:rsid w:val="005A0202"/>
    <w:rsid w:val="005A0528"/>
    <w:rsid w:val="005A0C51"/>
    <w:rsid w:val="005A0CFC"/>
    <w:rsid w:val="005A14BB"/>
    <w:rsid w:val="005A1DF1"/>
    <w:rsid w:val="005A1E3A"/>
    <w:rsid w:val="005A29E3"/>
    <w:rsid w:val="005A3309"/>
    <w:rsid w:val="005A3644"/>
    <w:rsid w:val="005A3B20"/>
    <w:rsid w:val="005A3C37"/>
    <w:rsid w:val="005A3F8A"/>
    <w:rsid w:val="005A4150"/>
    <w:rsid w:val="005A445B"/>
    <w:rsid w:val="005A507E"/>
    <w:rsid w:val="005A510C"/>
    <w:rsid w:val="005A511F"/>
    <w:rsid w:val="005A531D"/>
    <w:rsid w:val="005A5A4F"/>
    <w:rsid w:val="005A5C12"/>
    <w:rsid w:val="005A640F"/>
    <w:rsid w:val="005A6547"/>
    <w:rsid w:val="005A65B6"/>
    <w:rsid w:val="005A65CD"/>
    <w:rsid w:val="005A6A91"/>
    <w:rsid w:val="005A750C"/>
    <w:rsid w:val="005B0066"/>
    <w:rsid w:val="005B018E"/>
    <w:rsid w:val="005B046F"/>
    <w:rsid w:val="005B05DC"/>
    <w:rsid w:val="005B07CB"/>
    <w:rsid w:val="005B09C8"/>
    <w:rsid w:val="005B1225"/>
    <w:rsid w:val="005B1254"/>
    <w:rsid w:val="005B12EE"/>
    <w:rsid w:val="005B1C47"/>
    <w:rsid w:val="005B1C59"/>
    <w:rsid w:val="005B20BB"/>
    <w:rsid w:val="005B2162"/>
    <w:rsid w:val="005B3094"/>
    <w:rsid w:val="005B359A"/>
    <w:rsid w:val="005B3791"/>
    <w:rsid w:val="005B3C5D"/>
    <w:rsid w:val="005B3CD9"/>
    <w:rsid w:val="005B41F1"/>
    <w:rsid w:val="005B48F0"/>
    <w:rsid w:val="005B4A13"/>
    <w:rsid w:val="005B4D36"/>
    <w:rsid w:val="005B511B"/>
    <w:rsid w:val="005B5784"/>
    <w:rsid w:val="005B5788"/>
    <w:rsid w:val="005B58F0"/>
    <w:rsid w:val="005B5A37"/>
    <w:rsid w:val="005B5D6A"/>
    <w:rsid w:val="005B654A"/>
    <w:rsid w:val="005B6BDF"/>
    <w:rsid w:val="005B6C48"/>
    <w:rsid w:val="005B6D1F"/>
    <w:rsid w:val="005B6D37"/>
    <w:rsid w:val="005B6D5A"/>
    <w:rsid w:val="005B6E8B"/>
    <w:rsid w:val="005B785F"/>
    <w:rsid w:val="005B7C12"/>
    <w:rsid w:val="005C0859"/>
    <w:rsid w:val="005C0A2B"/>
    <w:rsid w:val="005C0ACC"/>
    <w:rsid w:val="005C1511"/>
    <w:rsid w:val="005C157E"/>
    <w:rsid w:val="005C1659"/>
    <w:rsid w:val="005C1A10"/>
    <w:rsid w:val="005C25B5"/>
    <w:rsid w:val="005C2D23"/>
    <w:rsid w:val="005C3069"/>
    <w:rsid w:val="005C3522"/>
    <w:rsid w:val="005C36F8"/>
    <w:rsid w:val="005C3930"/>
    <w:rsid w:val="005C3A49"/>
    <w:rsid w:val="005C3E02"/>
    <w:rsid w:val="005C434E"/>
    <w:rsid w:val="005C4633"/>
    <w:rsid w:val="005C4C21"/>
    <w:rsid w:val="005C4DA7"/>
    <w:rsid w:val="005C528C"/>
    <w:rsid w:val="005C52BD"/>
    <w:rsid w:val="005C52D4"/>
    <w:rsid w:val="005C5BB0"/>
    <w:rsid w:val="005C63F2"/>
    <w:rsid w:val="005C66FD"/>
    <w:rsid w:val="005C67E0"/>
    <w:rsid w:val="005C6AB8"/>
    <w:rsid w:val="005C6B12"/>
    <w:rsid w:val="005C6D5D"/>
    <w:rsid w:val="005C7669"/>
    <w:rsid w:val="005C76D8"/>
    <w:rsid w:val="005C77C2"/>
    <w:rsid w:val="005C7D37"/>
    <w:rsid w:val="005C7DCE"/>
    <w:rsid w:val="005C7FA9"/>
    <w:rsid w:val="005D0DD1"/>
    <w:rsid w:val="005D0FB4"/>
    <w:rsid w:val="005D10FF"/>
    <w:rsid w:val="005D14BE"/>
    <w:rsid w:val="005D1AC3"/>
    <w:rsid w:val="005D1FC2"/>
    <w:rsid w:val="005D2ACC"/>
    <w:rsid w:val="005D2B55"/>
    <w:rsid w:val="005D2E24"/>
    <w:rsid w:val="005D2EFB"/>
    <w:rsid w:val="005D3030"/>
    <w:rsid w:val="005D310A"/>
    <w:rsid w:val="005D3801"/>
    <w:rsid w:val="005D3CB1"/>
    <w:rsid w:val="005D4928"/>
    <w:rsid w:val="005D5089"/>
    <w:rsid w:val="005D5348"/>
    <w:rsid w:val="005D5B63"/>
    <w:rsid w:val="005D5CEF"/>
    <w:rsid w:val="005D6447"/>
    <w:rsid w:val="005D65A0"/>
    <w:rsid w:val="005D71B0"/>
    <w:rsid w:val="005E00E3"/>
    <w:rsid w:val="005E08E2"/>
    <w:rsid w:val="005E1321"/>
    <w:rsid w:val="005E15FA"/>
    <w:rsid w:val="005E162E"/>
    <w:rsid w:val="005E1666"/>
    <w:rsid w:val="005E1C1D"/>
    <w:rsid w:val="005E21A3"/>
    <w:rsid w:val="005E233F"/>
    <w:rsid w:val="005E2DD4"/>
    <w:rsid w:val="005E2E13"/>
    <w:rsid w:val="005E364F"/>
    <w:rsid w:val="005E37A0"/>
    <w:rsid w:val="005E3EC5"/>
    <w:rsid w:val="005E4171"/>
    <w:rsid w:val="005E47F7"/>
    <w:rsid w:val="005E4AC7"/>
    <w:rsid w:val="005E4DD8"/>
    <w:rsid w:val="005E502D"/>
    <w:rsid w:val="005E538B"/>
    <w:rsid w:val="005E5528"/>
    <w:rsid w:val="005E55B9"/>
    <w:rsid w:val="005E56FC"/>
    <w:rsid w:val="005E587B"/>
    <w:rsid w:val="005E5DD9"/>
    <w:rsid w:val="005E60E9"/>
    <w:rsid w:val="005E6642"/>
    <w:rsid w:val="005E66CB"/>
    <w:rsid w:val="005E69B1"/>
    <w:rsid w:val="005E6C5D"/>
    <w:rsid w:val="005E6D43"/>
    <w:rsid w:val="005E7043"/>
    <w:rsid w:val="005E7250"/>
    <w:rsid w:val="005E753C"/>
    <w:rsid w:val="005E75AD"/>
    <w:rsid w:val="005F034B"/>
    <w:rsid w:val="005F04B3"/>
    <w:rsid w:val="005F0676"/>
    <w:rsid w:val="005F11D7"/>
    <w:rsid w:val="005F1701"/>
    <w:rsid w:val="005F1E76"/>
    <w:rsid w:val="005F2122"/>
    <w:rsid w:val="005F21F9"/>
    <w:rsid w:val="005F255F"/>
    <w:rsid w:val="005F333B"/>
    <w:rsid w:val="005F34E6"/>
    <w:rsid w:val="005F4215"/>
    <w:rsid w:val="005F4371"/>
    <w:rsid w:val="005F44C6"/>
    <w:rsid w:val="005F4CA0"/>
    <w:rsid w:val="005F50D6"/>
    <w:rsid w:val="005F51D4"/>
    <w:rsid w:val="005F51F9"/>
    <w:rsid w:val="005F65EF"/>
    <w:rsid w:val="005F6AE0"/>
    <w:rsid w:val="005F6C70"/>
    <w:rsid w:val="005F6E82"/>
    <w:rsid w:val="005F6F64"/>
    <w:rsid w:val="005F729C"/>
    <w:rsid w:val="005F73F8"/>
    <w:rsid w:val="005F7566"/>
    <w:rsid w:val="005F76E7"/>
    <w:rsid w:val="005F7AE3"/>
    <w:rsid w:val="005F7B0A"/>
    <w:rsid w:val="005F7B7B"/>
    <w:rsid w:val="005F7EAE"/>
    <w:rsid w:val="0060025A"/>
    <w:rsid w:val="0060085B"/>
    <w:rsid w:val="00600BC4"/>
    <w:rsid w:val="00600BD2"/>
    <w:rsid w:val="00600C49"/>
    <w:rsid w:val="006010E1"/>
    <w:rsid w:val="006013CF"/>
    <w:rsid w:val="006015F9"/>
    <w:rsid w:val="00601DF7"/>
    <w:rsid w:val="006025CD"/>
    <w:rsid w:val="00602616"/>
    <w:rsid w:val="006026D1"/>
    <w:rsid w:val="0060276B"/>
    <w:rsid w:val="00602889"/>
    <w:rsid w:val="00602B5F"/>
    <w:rsid w:val="00603459"/>
    <w:rsid w:val="00603AA1"/>
    <w:rsid w:val="00603BB5"/>
    <w:rsid w:val="00604277"/>
    <w:rsid w:val="00604447"/>
    <w:rsid w:val="00604CC7"/>
    <w:rsid w:val="00604DC9"/>
    <w:rsid w:val="00604FCD"/>
    <w:rsid w:val="00604FCF"/>
    <w:rsid w:val="00605362"/>
    <w:rsid w:val="0060537D"/>
    <w:rsid w:val="00605C11"/>
    <w:rsid w:val="00605D96"/>
    <w:rsid w:val="00606440"/>
    <w:rsid w:val="00607365"/>
    <w:rsid w:val="006073D4"/>
    <w:rsid w:val="006078C2"/>
    <w:rsid w:val="00607A05"/>
    <w:rsid w:val="00607EFD"/>
    <w:rsid w:val="006105A2"/>
    <w:rsid w:val="0061085F"/>
    <w:rsid w:val="006113BA"/>
    <w:rsid w:val="00611810"/>
    <w:rsid w:val="0061183E"/>
    <w:rsid w:val="00611899"/>
    <w:rsid w:val="0061210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61E"/>
    <w:rsid w:val="00617F5C"/>
    <w:rsid w:val="0062051A"/>
    <w:rsid w:val="0062055A"/>
    <w:rsid w:val="00620648"/>
    <w:rsid w:val="006207E8"/>
    <w:rsid w:val="00620C94"/>
    <w:rsid w:val="006210D6"/>
    <w:rsid w:val="00621397"/>
    <w:rsid w:val="006217A6"/>
    <w:rsid w:val="006219D6"/>
    <w:rsid w:val="00621B3B"/>
    <w:rsid w:val="00622644"/>
    <w:rsid w:val="00622B52"/>
    <w:rsid w:val="00623436"/>
    <w:rsid w:val="00623498"/>
    <w:rsid w:val="006236D8"/>
    <w:rsid w:val="0062403D"/>
    <w:rsid w:val="00624381"/>
    <w:rsid w:val="006243BF"/>
    <w:rsid w:val="00624797"/>
    <w:rsid w:val="00624F55"/>
    <w:rsid w:val="006252FA"/>
    <w:rsid w:val="00625595"/>
    <w:rsid w:val="00625D3B"/>
    <w:rsid w:val="006260A4"/>
    <w:rsid w:val="00626502"/>
    <w:rsid w:val="00626903"/>
    <w:rsid w:val="006272FB"/>
    <w:rsid w:val="0062767A"/>
    <w:rsid w:val="00627C2F"/>
    <w:rsid w:val="00627CAA"/>
    <w:rsid w:val="00627F57"/>
    <w:rsid w:val="0063029C"/>
    <w:rsid w:val="00630464"/>
    <w:rsid w:val="00630CF2"/>
    <w:rsid w:val="00630D2B"/>
    <w:rsid w:val="00631549"/>
    <w:rsid w:val="00632048"/>
    <w:rsid w:val="0063246D"/>
    <w:rsid w:val="0063257C"/>
    <w:rsid w:val="00632A50"/>
    <w:rsid w:val="00632AAD"/>
    <w:rsid w:val="00632D6B"/>
    <w:rsid w:val="0063428B"/>
    <w:rsid w:val="006343DB"/>
    <w:rsid w:val="00634E98"/>
    <w:rsid w:val="00635279"/>
    <w:rsid w:val="00635A01"/>
    <w:rsid w:val="00635B69"/>
    <w:rsid w:val="00636593"/>
    <w:rsid w:val="00636631"/>
    <w:rsid w:val="00636840"/>
    <w:rsid w:val="00636E5B"/>
    <w:rsid w:val="0063779E"/>
    <w:rsid w:val="00640298"/>
    <w:rsid w:val="00640A29"/>
    <w:rsid w:val="00640A36"/>
    <w:rsid w:val="00640D81"/>
    <w:rsid w:val="00640E0C"/>
    <w:rsid w:val="00640F39"/>
    <w:rsid w:val="00640F57"/>
    <w:rsid w:val="006414FF"/>
    <w:rsid w:val="00641836"/>
    <w:rsid w:val="00641BFD"/>
    <w:rsid w:val="00642224"/>
    <w:rsid w:val="0064233A"/>
    <w:rsid w:val="00642F97"/>
    <w:rsid w:val="006431A0"/>
    <w:rsid w:val="0064377C"/>
    <w:rsid w:val="00643952"/>
    <w:rsid w:val="00643CE7"/>
    <w:rsid w:val="006443EF"/>
    <w:rsid w:val="00644475"/>
    <w:rsid w:val="006445F8"/>
    <w:rsid w:val="00644ACB"/>
    <w:rsid w:val="00644D0E"/>
    <w:rsid w:val="00644FDA"/>
    <w:rsid w:val="00645C8E"/>
    <w:rsid w:val="0064607E"/>
    <w:rsid w:val="00646360"/>
    <w:rsid w:val="00646E4B"/>
    <w:rsid w:val="0064710C"/>
    <w:rsid w:val="006477A7"/>
    <w:rsid w:val="00647B47"/>
    <w:rsid w:val="00647C0B"/>
    <w:rsid w:val="00647CA5"/>
    <w:rsid w:val="00647DA3"/>
    <w:rsid w:val="0065019F"/>
    <w:rsid w:val="006501D0"/>
    <w:rsid w:val="00650242"/>
    <w:rsid w:val="00650445"/>
    <w:rsid w:val="006512A6"/>
    <w:rsid w:val="00651A2B"/>
    <w:rsid w:val="00651DAE"/>
    <w:rsid w:val="00651FE9"/>
    <w:rsid w:val="006520F3"/>
    <w:rsid w:val="006522C2"/>
    <w:rsid w:val="00652486"/>
    <w:rsid w:val="006525BA"/>
    <w:rsid w:val="00652C9E"/>
    <w:rsid w:val="00652E7F"/>
    <w:rsid w:val="006536A3"/>
    <w:rsid w:val="00653997"/>
    <w:rsid w:val="00653A89"/>
    <w:rsid w:val="00653C85"/>
    <w:rsid w:val="006549BF"/>
    <w:rsid w:val="00654A62"/>
    <w:rsid w:val="006553B5"/>
    <w:rsid w:val="00655AAF"/>
    <w:rsid w:val="00655DFF"/>
    <w:rsid w:val="0065614D"/>
    <w:rsid w:val="00656496"/>
    <w:rsid w:val="00656847"/>
    <w:rsid w:val="00656A30"/>
    <w:rsid w:val="00656B0B"/>
    <w:rsid w:val="006572C6"/>
    <w:rsid w:val="00657E82"/>
    <w:rsid w:val="006608CA"/>
    <w:rsid w:val="00660F84"/>
    <w:rsid w:val="00660F89"/>
    <w:rsid w:val="0066135B"/>
    <w:rsid w:val="00661946"/>
    <w:rsid w:val="00662BE1"/>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296"/>
    <w:rsid w:val="00670BB3"/>
    <w:rsid w:val="00670F12"/>
    <w:rsid w:val="00671250"/>
    <w:rsid w:val="00671932"/>
    <w:rsid w:val="00671E95"/>
    <w:rsid w:val="00672017"/>
    <w:rsid w:val="00672293"/>
    <w:rsid w:val="00672B0F"/>
    <w:rsid w:val="006735EB"/>
    <w:rsid w:val="00673847"/>
    <w:rsid w:val="00673E86"/>
    <w:rsid w:val="00674840"/>
    <w:rsid w:val="00674964"/>
    <w:rsid w:val="00674C6E"/>
    <w:rsid w:val="00675088"/>
    <w:rsid w:val="006755F1"/>
    <w:rsid w:val="00675CA9"/>
    <w:rsid w:val="00675EB9"/>
    <w:rsid w:val="00675EF4"/>
    <w:rsid w:val="0067665C"/>
    <w:rsid w:val="006775D7"/>
    <w:rsid w:val="00677831"/>
    <w:rsid w:val="006779CB"/>
    <w:rsid w:val="00677A77"/>
    <w:rsid w:val="0068010D"/>
    <w:rsid w:val="006803C4"/>
    <w:rsid w:val="00680467"/>
    <w:rsid w:val="0068087C"/>
    <w:rsid w:val="00680B7E"/>
    <w:rsid w:val="006811E9"/>
    <w:rsid w:val="006817B7"/>
    <w:rsid w:val="00681927"/>
    <w:rsid w:val="00681F9B"/>
    <w:rsid w:val="00682215"/>
    <w:rsid w:val="00682A03"/>
    <w:rsid w:val="0068301E"/>
    <w:rsid w:val="00683408"/>
    <w:rsid w:val="00683B94"/>
    <w:rsid w:val="00683CFC"/>
    <w:rsid w:val="00683F27"/>
    <w:rsid w:val="0068451C"/>
    <w:rsid w:val="0068482D"/>
    <w:rsid w:val="00684CA4"/>
    <w:rsid w:val="00684E72"/>
    <w:rsid w:val="00685909"/>
    <w:rsid w:val="0068599B"/>
    <w:rsid w:val="0068660B"/>
    <w:rsid w:val="00686692"/>
    <w:rsid w:val="00686717"/>
    <w:rsid w:val="00686956"/>
    <w:rsid w:val="006869EC"/>
    <w:rsid w:val="00686F7A"/>
    <w:rsid w:val="006876DE"/>
    <w:rsid w:val="0068799E"/>
    <w:rsid w:val="00687EFA"/>
    <w:rsid w:val="00690011"/>
    <w:rsid w:val="006901E4"/>
    <w:rsid w:val="00690316"/>
    <w:rsid w:val="006905A4"/>
    <w:rsid w:val="0069077E"/>
    <w:rsid w:val="00690CAC"/>
    <w:rsid w:val="00691029"/>
    <w:rsid w:val="006913E8"/>
    <w:rsid w:val="006919FA"/>
    <w:rsid w:val="00692178"/>
    <w:rsid w:val="00692D34"/>
    <w:rsid w:val="00693033"/>
    <w:rsid w:val="00693321"/>
    <w:rsid w:val="006934B6"/>
    <w:rsid w:val="00693591"/>
    <w:rsid w:val="006938C7"/>
    <w:rsid w:val="006939A3"/>
    <w:rsid w:val="00693A8E"/>
    <w:rsid w:val="00694893"/>
    <w:rsid w:val="00694A36"/>
    <w:rsid w:val="00694DD9"/>
    <w:rsid w:val="00695038"/>
    <w:rsid w:val="00695097"/>
    <w:rsid w:val="006951D2"/>
    <w:rsid w:val="006954BF"/>
    <w:rsid w:val="00695BE6"/>
    <w:rsid w:val="00695F45"/>
    <w:rsid w:val="006963BC"/>
    <w:rsid w:val="0069691A"/>
    <w:rsid w:val="0069743C"/>
    <w:rsid w:val="00697671"/>
    <w:rsid w:val="006A0069"/>
    <w:rsid w:val="006A02A7"/>
    <w:rsid w:val="006A075A"/>
    <w:rsid w:val="006A09BE"/>
    <w:rsid w:val="006A0DCA"/>
    <w:rsid w:val="006A12B1"/>
    <w:rsid w:val="006A1E80"/>
    <w:rsid w:val="006A2935"/>
    <w:rsid w:val="006A3CAE"/>
    <w:rsid w:val="006A42CA"/>
    <w:rsid w:val="006A47F0"/>
    <w:rsid w:val="006A4E44"/>
    <w:rsid w:val="006A51E4"/>
    <w:rsid w:val="006A59FE"/>
    <w:rsid w:val="006A5F42"/>
    <w:rsid w:val="006A5FEA"/>
    <w:rsid w:val="006A6103"/>
    <w:rsid w:val="006A65AD"/>
    <w:rsid w:val="006A6622"/>
    <w:rsid w:val="006A6690"/>
    <w:rsid w:val="006A6813"/>
    <w:rsid w:val="006A68C5"/>
    <w:rsid w:val="006A6B84"/>
    <w:rsid w:val="006A71EB"/>
    <w:rsid w:val="006A74AB"/>
    <w:rsid w:val="006A752A"/>
    <w:rsid w:val="006B0026"/>
    <w:rsid w:val="006B0117"/>
    <w:rsid w:val="006B07EF"/>
    <w:rsid w:val="006B08C6"/>
    <w:rsid w:val="006B0AB0"/>
    <w:rsid w:val="006B10ED"/>
    <w:rsid w:val="006B1342"/>
    <w:rsid w:val="006B156A"/>
    <w:rsid w:val="006B186A"/>
    <w:rsid w:val="006B18A4"/>
    <w:rsid w:val="006B194C"/>
    <w:rsid w:val="006B1A86"/>
    <w:rsid w:val="006B1FCE"/>
    <w:rsid w:val="006B25A5"/>
    <w:rsid w:val="006B26CA"/>
    <w:rsid w:val="006B26E3"/>
    <w:rsid w:val="006B3257"/>
    <w:rsid w:val="006B326B"/>
    <w:rsid w:val="006B3A27"/>
    <w:rsid w:val="006B3C3C"/>
    <w:rsid w:val="006B42CE"/>
    <w:rsid w:val="006B45C4"/>
    <w:rsid w:val="006B4CA3"/>
    <w:rsid w:val="006B4D5A"/>
    <w:rsid w:val="006B51B2"/>
    <w:rsid w:val="006B5B2C"/>
    <w:rsid w:val="006B62A5"/>
    <w:rsid w:val="006B6C16"/>
    <w:rsid w:val="006B7A4A"/>
    <w:rsid w:val="006B7B15"/>
    <w:rsid w:val="006B7FAD"/>
    <w:rsid w:val="006B7FB0"/>
    <w:rsid w:val="006C014C"/>
    <w:rsid w:val="006C0913"/>
    <w:rsid w:val="006C0D78"/>
    <w:rsid w:val="006C1389"/>
    <w:rsid w:val="006C17A0"/>
    <w:rsid w:val="006C17D4"/>
    <w:rsid w:val="006C186F"/>
    <w:rsid w:val="006C18B2"/>
    <w:rsid w:val="006C26A9"/>
    <w:rsid w:val="006C2AB3"/>
    <w:rsid w:val="006C2C16"/>
    <w:rsid w:val="006C2CC5"/>
    <w:rsid w:val="006C395E"/>
    <w:rsid w:val="006C3C4A"/>
    <w:rsid w:val="006C468E"/>
    <w:rsid w:val="006C5AAA"/>
    <w:rsid w:val="006C6780"/>
    <w:rsid w:val="006C67DA"/>
    <w:rsid w:val="006C69E6"/>
    <w:rsid w:val="006C7300"/>
    <w:rsid w:val="006C74DF"/>
    <w:rsid w:val="006C7B33"/>
    <w:rsid w:val="006C7CCE"/>
    <w:rsid w:val="006D000D"/>
    <w:rsid w:val="006D04BE"/>
    <w:rsid w:val="006D0515"/>
    <w:rsid w:val="006D0921"/>
    <w:rsid w:val="006D0D9A"/>
    <w:rsid w:val="006D1198"/>
    <w:rsid w:val="006D18F6"/>
    <w:rsid w:val="006D1B6C"/>
    <w:rsid w:val="006D1E53"/>
    <w:rsid w:val="006D27E3"/>
    <w:rsid w:val="006D28E7"/>
    <w:rsid w:val="006D2BFA"/>
    <w:rsid w:val="006D2C83"/>
    <w:rsid w:val="006D2C8D"/>
    <w:rsid w:val="006D2F95"/>
    <w:rsid w:val="006D3A60"/>
    <w:rsid w:val="006D3DD5"/>
    <w:rsid w:val="006D4135"/>
    <w:rsid w:val="006D425F"/>
    <w:rsid w:val="006D472D"/>
    <w:rsid w:val="006D4818"/>
    <w:rsid w:val="006D48EA"/>
    <w:rsid w:val="006D544B"/>
    <w:rsid w:val="006D59DF"/>
    <w:rsid w:val="006D5FA5"/>
    <w:rsid w:val="006D6610"/>
    <w:rsid w:val="006D70F2"/>
    <w:rsid w:val="006D70F8"/>
    <w:rsid w:val="006D780E"/>
    <w:rsid w:val="006D7854"/>
    <w:rsid w:val="006D7860"/>
    <w:rsid w:val="006E09F2"/>
    <w:rsid w:val="006E0BF0"/>
    <w:rsid w:val="006E146C"/>
    <w:rsid w:val="006E1476"/>
    <w:rsid w:val="006E1B4C"/>
    <w:rsid w:val="006E1DB8"/>
    <w:rsid w:val="006E1E3F"/>
    <w:rsid w:val="006E29ED"/>
    <w:rsid w:val="006E2D45"/>
    <w:rsid w:val="006E2D9C"/>
    <w:rsid w:val="006E4C6B"/>
    <w:rsid w:val="006E4F55"/>
    <w:rsid w:val="006E53E9"/>
    <w:rsid w:val="006E54A6"/>
    <w:rsid w:val="006E5777"/>
    <w:rsid w:val="006E5902"/>
    <w:rsid w:val="006E6236"/>
    <w:rsid w:val="006E649F"/>
    <w:rsid w:val="006E6DC5"/>
    <w:rsid w:val="006E721C"/>
    <w:rsid w:val="006E7556"/>
    <w:rsid w:val="006E786D"/>
    <w:rsid w:val="006F003B"/>
    <w:rsid w:val="006F0E35"/>
    <w:rsid w:val="006F0F13"/>
    <w:rsid w:val="006F12DD"/>
    <w:rsid w:val="006F207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2DB"/>
    <w:rsid w:val="006F6AB2"/>
    <w:rsid w:val="006F6E26"/>
    <w:rsid w:val="006F777E"/>
    <w:rsid w:val="006F78F5"/>
    <w:rsid w:val="006F7D5A"/>
    <w:rsid w:val="0070051E"/>
    <w:rsid w:val="0070097C"/>
    <w:rsid w:val="00700CBD"/>
    <w:rsid w:val="00700CF1"/>
    <w:rsid w:val="00700E41"/>
    <w:rsid w:val="00700FF8"/>
    <w:rsid w:val="007010AE"/>
    <w:rsid w:val="007010B9"/>
    <w:rsid w:val="00701698"/>
    <w:rsid w:val="0070180C"/>
    <w:rsid w:val="00701B88"/>
    <w:rsid w:val="00702125"/>
    <w:rsid w:val="00702245"/>
    <w:rsid w:val="007025B5"/>
    <w:rsid w:val="007028C7"/>
    <w:rsid w:val="007029D6"/>
    <w:rsid w:val="00703295"/>
    <w:rsid w:val="0070372D"/>
    <w:rsid w:val="00704462"/>
    <w:rsid w:val="007049A5"/>
    <w:rsid w:val="0070516B"/>
    <w:rsid w:val="007055DF"/>
    <w:rsid w:val="00705D39"/>
    <w:rsid w:val="00705D43"/>
    <w:rsid w:val="0070653A"/>
    <w:rsid w:val="00706ACE"/>
    <w:rsid w:val="00706C56"/>
    <w:rsid w:val="00707396"/>
    <w:rsid w:val="0070762A"/>
    <w:rsid w:val="0070764F"/>
    <w:rsid w:val="00707F9F"/>
    <w:rsid w:val="00710C7E"/>
    <w:rsid w:val="00710EB3"/>
    <w:rsid w:val="00710F3D"/>
    <w:rsid w:val="00710FFF"/>
    <w:rsid w:val="0071214D"/>
    <w:rsid w:val="0071215E"/>
    <w:rsid w:val="00712CB2"/>
    <w:rsid w:val="00713021"/>
    <w:rsid w:val="00713040"/>
    <w:rsid w:val="007136D9"/>
    <w:rsid w:val="007137D4"/>
    <w:rsid w:val="00713A16"/>
    <w:rsid w:val="00714034"/>
    <w:rsid w:val="00714181"/>
    <w:rsid w:val="007145B4"/>
    <w:rsid w:val="00714A09"/>
    <w:rsid w:val="00714E6E"/>
    <w:rsid w:val="007150ED"/>
    <w:rsid w:val="00715114"/>
    <w:rsid w:val="00715139"/>
    <w:rsid w:val="00715886"/>
    <w:rsid w:val="007159EC"/>
    <w:rsid w:val="00715AF5"/>
    <w:rsid w:val="00716079"/>
    <w:rsid w:val="007164C4"/>
    <w:rsid w:val="007166B3"/>
    <w:rsid w:val="00716ABD"/>
    <w:rsid w:val="00716B1E"/>
    <w:rsid w:val="0071793A"/>
    <w:rsid w:val="00720342"/>
    <w:rsid w:val="00720EA6"/>
    <w:rsid w:val="00721061"/>
    <w:rsid w:val="007214E3"/>
    <w:rsid w:val="00722BB0"/>
    <w:rsid w:val="00722D13"/>
    <w:rsid w:val="00722EB6"/>
    <w:rsid w:val="00723B4F"/>
    <w:rsid w:val="007242A3"/>
    <w:rsid w:val="00725B4F"/>
    <w:rsid w:val="00725D5B"/>
    <w:rsid w:val="007262CA"/>
    <w:rsid w:val="007264FB"/>
    <w:rsid w:val="00726911"/>
    <w:rsid w:val="00726924"/>
    <w:rsid w:val="00726BF9"/>
    <w:rsid w:val="0072717B"/>
    <w:rsid w:val="0072781B"/>
    <w:rsid w:val="00727F52"/>
    <w:rsid w:val="0073009A"/>
    <w:rsid w:val="00730973"/>
    <w:rsid w:val="00730D94"/>
    <w:rsid w:val="00731057"/>
    <w:rsid w:val="007310DE"/>
    <w:rsid w:val="0073153F"/>
    <w:rsid w:val="00731741"/>
    <w:rsid w:val="007317FD"/>
    <w:rsid w:val="00731E3F"/>
    <w:rsid w:val="007321C2"/>
    <w:rsid w:val="0073225B"/>
    <w:rsid w:val="00732BBA"/>
    <w:rsid w:val="00733099"/>
    <w:rsid w:val="00733245"/>
    <w:rsid w:val="00733DE0"/>
    <w:rsid w:val="00734464"/>
    <w:rsid w:val="00734628"/>
    <w:rsid w:val="00734BA3"/>
    <w:rsid w:val="007350B8"/>
    <w:rsid w:val="00735226"/>
    <w:rsid w:val="007357C5"/>
    <w:rsid w:val="0073590A"/>
    <w:rsid w:val="00735A52"/>
    <w:rsid w:val="00735ABA"/>
    <w:rsid w:val="00735C62"/>
    <w:rsid w:val="00735C6A"/>
    <w:rsid w:val="00735EE1"/>
    <w:rsid w:val="0073604A"/>
    <w:rsid w:val="007366D4"/>
    <w:rsid w:val="00737779"/>
    <w:rsid w:val="00737AA8"/>
    <w:rsid w:val="00737B3F"/>
    <w:rsid w:val="007402A6"/>
    <w:rsid w:val="0074032D"/>
    <w:rsid w:val="0074032E"/>
    <w:rsid w:val="007405A7"/>
    <w:rsid w:val="007406E4"/>
    <w:rsid w:val="0074075A"/>
    <w:rsid w:val="00740892"/>
    <w:rsid w:val="007409B2"/>
    <w:rsid w:val="00740D25"/>
    <w:rsid w:val="00740EDD"/>
    <w:rsid w:val="007411CA"/>
    <w:rsid w:val="00741214"/>
    <w:rsid w:val="00741298"/>
    <w:rsid w:val="00741328"/>
    <w:rsid w:val="00741417"/>
    <w:rsid w:val="007417B1"/>
    <w:rsid w:val="00741993"/>
    <w:rsid w:val="00741C10"/>
    <w:rsid w:val="007421E9"/>
    <w:rsid w:val="007424A8"/>
    <w:rsid w:val="00743086"/>
    <w:rsid w:val="007435AB"/>
    <w:rsid w:val="007437D8"/>
    <w:rsid w:val="00744F18"/>
    <w:rsid w:val="007452D4"/>
    <w:rsid w:val="00745572"/>
    <w:rsid w:val="00746073"/>
    <w:rsid w:val="00747316"/>
    <w:rsid w:val="00747367"/>
    <w:rsid w:val="007473C3"/>
    <w:rsid w:val="00747434"/>
    <w:rsid w:val="0074783D"/>
    <w:rsid w:val="00747CCD"/>
    <w:rsid w:val="00747D2C"/>
    <w:rsid w:val="00750255"/>
    <w:rsid w:val="00750718"/>
    <w:rsid w:val="00750746"/>
    <w:rsid w:val="007508B8"/>
    <w:rsid w:val="00750A6C"/>
    <w:rsid w:val="00751280"/>
    <w:rsid w:val="00751551"/>
    <w:rsid w:val="00751BF5"/>
    <w:rsid w:val="00751CF2"/>
    <w:rsid w:val="00751D83"/>
    <w:rsid w:val="00752D1A"/>
    <w:rsid w:val="007530E1"/>
    <w:rsid w:val="007531D3"/>
    <w:rsid w:val="00754359"/>
    <w:rsid w:val="007545D1"/>
    <w:rsid w:val="0075483D"/>
    <w:rsid w:val="00755D6C"/>
    <w:rsid w:val="00755D9B"/>
    <w:rsid w:val="0075654A"/>
    <w:rsid w:val="007569EA"/>
    <w:rsid w:val="00756F76"/>
    <w:rsid w:val="00757201"/>
    <w:rsid w:val="0075748A"/>
    <w:rsid w:val="007574EF"/>
    <w:rsid w:val="007579D9"/>
    <w:rsid w:val="00757B14"/>
    <w:rsid w:val="00760374"/>
    <w:rsid w:val="00760C85"/>
    <w:rsid w:val="0076104D"/>
    <w:rsid w:val="00761AF2"/>
    <w:rsid w:val="00761BAD"/>
    <w:rsid w:val="00761D0E"/>
    <w:rsid w:val="00761E49"/>
    <w:rsid w:val="00762048"/>
    <w:rsid w:val="00762647"/>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C43"/>
    <w:rsid w:val="007713BF"/>
    <w:rsid w:val="007716F2"/>
    <w:rsid w:val="00771D84"/>
    <w:rsid w:val="00771F0A"/>
    <w:rsid w:val="00772597"/>
    <w:rsid w:val="007725B4"/>
    <w:rsid w:val="00772D94"/>
    <w:rsid w:val="00772F50"/>
    <w:rsid w:val="00773785"/>
    <w:rsid w:val="007737FE"/>
    <w:rsid w:val="00773CB7"/>
    <w:rsid w:val="0077432B"/>
    <w:rsid w:val="00774EF1"/>
    <w:rsid w:val="00774F1C"/>
    <w:rsid w:val="0077505F"/>
    <w:rsid w:val="00775259"/>
    <w:rsid w:val="007756EC"/>
    <w:rsid w:val="00775A55"/>
    <w:rsid w:val="00775C84"/>
    <w:rsid w:val="00776216"/>
    <w:rsid w:val="007763D6"/>
    <w:rsid w:val="00776572"/>
    <w:rsid w:val="00776E23"/>
    <w:rsid w:val="00777156"/>
    <w:rsid w:val="00777196"/>
    <w:rsid w:val="0077738D"/>
    <w:rsid w:val="007774C2"/>
    <w:rsid w:val="00777ADF"/>
    <w:rsid w:val="00781AD8"/>
    <w:rsid w:val="00781C98"/>
    <w:rsid w:val="0078224C"/>
    <w:rsid w:val="007828D0"/>
    <w:rsid w:val="00783A7E"/>
    <w:rsid w:val="00783C29"/>
    <w:rsid w:val="00784A19"/>
    <w:rsid w:val="00784CC4"/>
    <w:rsid w:val="00785BF7"/>
    <w:rsid w:val="00786098"/>
    <w:rsid w:val="0078663E"/>
    <w:rsid w:val="00786AE8"/>
    <w:rsid w:val="00786EB8"/>
    <w:rsid w:val="00786FDC"/>
    <w:rsid w:val="007874CB"/>
    <w:rsid w:val="00787D28"/>
    <w:rsid w:val="00787E00"/>
    <w:rsid w:val="0079000C"/>
    <w:rsid w:val="007907FA"/>
    <w:rsid w:val="00790B29"/>
    <w:rsid w:val="00790B3E"/>
    <w:rsid w:val="00790D7B"/>
    <w:rsid w:val="00790D93"/>
    <w:rsid w:val="00790F17"/>
    <w:rsid w:val="00790FBD"/>
    <w:rsid w:val="00791CD7"/>
    <w:rsid w:val="00791DCC"/>
    <w:rsid w:val="00791E54"/>
    <w:rsid w:val="00791F2C"/>
    <w:rsid w:val="007923B8"/>
    <w:rsid w:val="00792D22"/>
    <w:rsid w:val="007938EF"/>
    <w:rsid w:val="0079430D"/>
    <w:rsid w:val="0079442E"/>
    <w:rsid w:val="00794BCA"/>
    <w:rsid w:val="007953B9"/>
    <w:rsid w:val="00796135"/>
    <w:rsid w:val="0079697B"/>
    <w:rsid w:val="0079719D"/>
    <w:rsid w:val="0079754C"/>
    <w:rsid w:val="007977C7"/>
    <w:rsid w:val="0079791C"/>
    <w:rsid w:val="007A0657"/>
    <w:rsid w:val="007A0679"/>
    <w:rsid w:val="007A0939"/>
    <w:rsid w:val="007A0DE7"/>
    <w:rsid w:val="007A1395"/>
    <w:rsid w:val="007A22E9"/>
    <w:rsid w:val="007A2329"/>
    <w:rsid w:val="007A24A2"/>
    <w:rsid w:val="007A24EB"/>
    <w:rsid w:val="007A25CC"/>
    <w:rsid w:val="007A282D"/>
    <w:rsid w:val="007A29A1"/>
    <w:rsid w:val="007A331E"/>
    <w:rsid w:val="007A3962"/>
    <w:rsid w:val="007A3B34"/>
    <w:rsid w:val="007A3BD0"/>
    <w:rsid w:val="007A455D"/>
    <w:rsid w:val="007A4BC7"/>
    <w:rsid w:val="007A4C6D"/>
    <w:rsid w:val="007A4F2F"/>
    <w:rsid w:val="007A4FEC"/>
    <w:rsid w:val="007A5A94"/>
    <w:rsid w:val="007A5BE0"/>
    <w:rsid w:val="007A6345"/>
    <w:rsid w:val="007A644F"/>
    <w:rsid w:val="007A6B97"/>
    <w:rsid w:val="007A6FEB"/>
    <w:rsid w:val="007A722F"/>
    <w:rsid w:val="007A73DA"/>
    <w:rsid w:val="007A74F7"/>
    <w:rsid w:val="007A7CE5"/>
    <w:rsid w:val="007B0105"/>
    <w:rsid w:val="007B04E7"/>
    <w:rsid w:val="007B07CA"/>
    <w:rsid w:val="007B0C6A"/>
    <w:rsid w:val="007B0E36"/>
    <w:rsid w:val="007B19CE"/>
    <w:rsid w:val="007B1A80"/>
    <w:rsid w:val="007B1E12"/>
    <w:rsid w:val="007B1E53"/>
    <w:rsid w:val="007B227B"/>
    <w:rsid w:val="007B23FA"/>
    <w:rsid w:val="007B276C"/>
    <w:rsid w:val="007B2784"/>
    <w:rsid w:val="007B3291"/>
    <w:rsid w:val="007B3771"/>
    <w:rsid w:val="007B45AA"/>
    <w:rsid w:val="007B5385"/>
    <w:rsid w:val="007B547C"/>
    <w:rsid w:val="007B5E9F"/>
    <w:rsid w:val="007B620F"/>
    <w:rsid w:val="007B63C3"/>
    <w:rsid w:val="007B63FB"/>
    <w:rsid w:val="007B668E"/>
    <w:rsid w:val="007B677B"/>
    <w:rsid w:val="007B6A45"/>
    <w:rsid w:val="007B70C3"/>
    <w:rsid w:val="007B7A0C"/>
    <w:rsid w:val="007B7C23"/>
    <w:rsid w:val="007B7CE1"/>
    <w:rsid w:val="007B7FFE"/>
    <w:rsid w:val="007C0255"/>
    <w:rsid w:val="007C052A"/>
    <w:rsid w:val="007C094D"/>
    <w:rsid w:val="007C09C8"/>
    <w:rsid w:val="007C0C22"/>
    <w:rsid w:val="007C13ED"/>
    <w:rsid w:val="007C1651"/>
    <w:rsid w:val="007C188D"/>
    <w:rsid w:val="007C19EA"/>
    <w:rsid w:val="007C1A8C"/>
    <w:rsid w:val="007C21A0"/>
    <w:rsid w:val="007C22AA"/>
    <w:rsid w:val="007C22CA"/>
    <w:rsid w:val="007C2346"/>
    <w:rsid w:val="007C2707"/>
    <w:rsid w:val="007C2DD4"/>
    <w:rsid w:val="007C33CF"/>
    <w:rsid w:val="007C3543"/>
    <w:rsid w:val="007C36CB"/>
    <w:rsid w:val="007C3C81"/>
    <w:rsid w:val="007C3D84"/>
    <w:rsid w:val="007C447F"/>
    <w:rsid w:val="007C608B"/>
    <w:rsid w:val="007C62E7"/>
    <w:rsid w:val="007C647A"/>
    <w:rsid w:val="007C6623"/>
    <w:rsid w:val="007C671E"/>
    <w:rsid w:val="007C6AA3"/>
    <w:rsid w:val="007C7457"/>
    <w:rsid w:val="007C7E6B"/>
    <w:rsid w:val="007D0845"/>
    <w:rsid w:val="007D0D04"/>
    <w:rsid w:val="007D1573"/>
    <w:rsid w:val="007D1CB4"/>
    <w:rsid w:val="007D1EE6"/>
    <w:rsid w:val="007D1F1A"/>
    <w:rsid w:val="007D26E0"/>
    <w:rsid w:val="007D2BD2"/>
    <w:rsid w:val="007D3011"/>
    <w:rsid w:val="007D3195"/>
    <w:rsid w:val="007D349C"/>
    <w:rsid w:val="007D3504"/>
    <w:rsid w:val="007D3572"/>
    <w:rsid w:val="007D3FCB"/>
    <w:rsid w:val="007D4064"/>
    <w:rsid w:val="007D501A"/>
    <w:rsid w:val="007D5105"/>
    <w:rsid w:val="007D53CD"/>
    <w:rsid w:val="007D62B0"/>
    <w:rsid w:val="007D6377"/>
    <w:rsid w:val="007D6528"/>
    <w:rsid w:val="007D689D"/>
    <w:rsid w:val="007D699F"/>
    <w:rsid w:val="007D6AF4"/>
    <w:rsid w:val="007D6C4C"/>
    <w:rsid w:val="007D6D82"/>
    <w:rsid w:val="007D7ECD"/>
    <w:rsid w:val="007D7EFC"/>
    <w:rsid w:val="007E02CE"/>
    <w:rsid w:val="007E07EF"/>
    <w:rsid w:val="007E103C"/>
    <w:rsid w:val="007E1221"/>
    <w:rsid w:val="007E17C1"/>
    <w:rsid w:val="007E24B8"/>
    <w:rsid w:val="007E2A27"/>
    <w:rsid w:val="007E300C"/>
    <w:rsid w:val="007E3133"/>
    <w:rsid w:val="007E3995"/>
    <w:rsid w:val="007E39F0"/>
    <w:rsid w:val="007E3F65"/>
    <w:rsid w:val="007E4AD7"/>
    <w:rsid w:val="007E4C7A"/>
    <w:rsid w:val="007E50D9"/>
    <w:rsid w:val="007E5253"/>
    <w:rsid w:val="007E5644"/>
    <w:rsid w:val="007E5648"/>
    <w:rsid w:val="007E57A5"/>
    <w:rsid w:val="007E5B0E"/>
    <w:rsid w:val="007E5CB8"/>
    <w:rsid w:val="007E5D04"/>
    <w:rsid w:val="007E5DDF"/>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2F01"/>
    <w:rsid w:val="007F31E1"/>
    <w:rsid w:val="007F3400"/>
    <w:rsid w:val="007F370B"/>
    <w:rsid w:val="007F3C7C"/>
    <w:rsid w:val="007F49A4"/>
    <w:rsid w:val="007F4DCC"/>
    <w:rsid w:val="007F52E1"/>
    <w:rsid w:val="007F53A1"/>
    <w:rsid w:val="007F5541"/>
    <w:rsid w:val="007F56C3"/>
    <w:rsid w:val="007F5EA8"/>
    <w:rsid w:val="007F5FEB"/>
    <w:rsid w:val="007F6AB0"/>
    <w:rsid w:val="007F760C"/>
    <w:rsid w:val="007F779D"/>
    <w:rsid w:val="007F77AD"/>
    <w:rsid w:val="00800347"/>
    <w:rsid w:val="00800A85"/>
    <w:rsid w:val="00800C84"/>
    <w:rsid w:val="0080257D"/>
    <w:rsid w:val="008025AE"/>
    <w:rsid w:val="00802670"/>
    <w:rsid w:val="00802757"/>
    <w:rsid w:val="00803160"/>
    <w:rsid w:val="00803615"/>
    <w:rsid w:val="0080362B"/>
    <w:rsid w:val="0080375F"/>
    <w:rsid w:val="00803805"/>
    <w:rsid w:val="00803812"/>
    <w:rsid w:val="00803EA8"/>
    <w:rsid w:val="00803EA9"/>
    <w:rsid w:val="00803F6B"/>
    <w:rsid w:val="008040EC"/>
    <w:rsid w:val="00804C68"/>
    <w:rsid w:val="008052B1"/>
    <w:rsid w:val="00805337"/>
    <w:rsid w:val="0080582D"/>
    <w:rsid w:val="008059CD"/>
    <w:rsid w:val="00805AB1"/>
    <w:rsid w:val="00805C1D"/>
    <w:rsid w:val="00805D11"/>
    <w:rsid w:val="00805D3F"/>
    <w:rsid w:val="00805F72"/>
    <w:rsid w:val="008068CB"/>
    <w:rsid w:val="008068D5"/>
    <w:rsid w:val="00806C7B"/>
    <w:rsid w:val="0080756C"/>
    <w:rsid w:val="00807D84"/>
    <w:rsid w:val="00807FAE"/>
    <w:rsid w:val="00810322"/>
    <w:rsid w:val="00810325"/>
    <w:rsid w:val="00811243"/>
    <w:rsid w:val="00811AF4"/>
    <w:rsid w:val="00811E3F"/>
    <w:rsid w:val="00812016"/>
    <w:rsid w:val="0081220D"/>
    <w:rsid w:val="00812758"/>
    <w:rsid w:val="00812E84"/>
    <w:rsid w:val="008131BE"/>
    <w:rsid w:val="00813520"/>
    <w:rsid w:val="00813F88"/>
    <w:rsid w:val="00814B36"/>
    <w:rsid w:val="0081517D"/>
    <w:rsid w:val="008152DB"/>
    <w:rsid w:val="00815792"/>
    <w:rsid w:val="00815A80"/>
    <w:rsid w:val="00815C9B"/>
    <w:rsid w:val="00815E2F"/>
    <w:rsid w:val="00815F59"/>
    <w:rsid w:val="008168D8"/>
    <w:rsid w:val="00816D49"/>
    <w:rsid w:val="008170CB"/>
    <w:rsid w:val="008174BF"/>
    <w:rsid w:val="008203A8"/>
    <w:rsid w:val="0082047C"/>
    <w:rsid w:val="008205D1"/>
    <w:rsid w:val="008208D7"/>
    <w:rsid w:val="00820F9D"/>
    <w:rsid w:val="0082166D"/>
    <w:rsid w:val="00821833"/>
    <w:rsid w:val="00822122"/>
    <w:rsid w:val="00822898"/>
    <w:rsid w:val="00822A1F"/>
    <w:rsid w:val="00822C89"/>
    <w:rsid w:val="008241C6"/>
    <w:rsid w:val="008243C9"/>
    <w:rsid w:val="00824831"/>
    <w:rsid w:val="008251AB"/>
    <w:rsid w:val="008255A4"/>
    <w:rsid w:val="008257ED"/>
    <w:rsid w:val="00825882"/>
    <w:rsid w:val="0082592D"/>
    <w:rsid w:val="00825ABA"/>
    <w:rsid w:val="00826ADE"/>
    <w:rsid w:val="008275B0"/>
    <w:rsid w:val="008275D0"/>
    <w:rsid w:val="008278E9"/>
    <w:rsid w:val="00830FF6"/>
    <w:rsid w:val="008311F1"/>
    <w:rsid w:val="00831204"/>
    <w:rsid w:val="00831208"/>
    <w:rsid w:val="00831253"/>
    <w:rsid w:val="008313BC"/>
    <w:rsid w:val="008319BF"/>
    <w:rsid w:val="008322C9"/>
    <w:rsid w:val="0083279B"/>
    <w:rsid w:val="00832B4A"/>
    <w:rsid w:val="00832B94"/>
    <w:rsid w:val="00832F8B"/>
    <w:rsid w:val="00832FB1"/>
    <w:rsid w:val="0083305C"/>
    <w:rsid w:val="008332D5"/>
    <w:rsid w:val="0083385A"/>
    <w:rsid w:val="00833B44"/>
    <w:rsid w:val="00833D61"/>
    <w:rsid w:val="00833D71"/>
    <w:rsid w:val="00835378"/>
    <w:rsid w:val="008357A1"/>
    <w:rsid w:val="00835A02"/>
    <w:rsid w:val="00835CBC"/>
    <w:rsid w:val="00836387"/>
    <w:rsid w:val="00836E21"/>
    <w:rsid w:val="0083705E"/>
    <w:rsid w:val="008372F5"/>
    <w:rsid w:val="00837428"/>
    <w:rsid w:val="0083782E"/>
    <w:rsid w:val="0083796E"/>
    <w:rsid w:val="00840481"/>
    <w:rsid w:val="008407AD"/>
    <w:rsid w:val="008409F8"/>
    <w:rsid w:val="00840BF1"/>
    <w:rsid w:val="008414B4"/>
    <w:rsid w:val="00841661"/>
    <w:rsid w:val="00841859"/>
    <w:rsid w:val="008423D6"/>
    <w:rsid w:val="00842420"/>
    <w:rsid w:val="008429CF"/>
    <w:rsid w:val="00843081"/>
    <w:rsid w:val="00843638"/>
    <w:rsid w:val="00843F4E"/>
    <w:rsid w:val="0084405B"/>
    <w:rsid w:val="008443C4"/>
    <w:rsid w:val="008446E2"/>
    <w:rsid w:val="00844766"/>
    <w:rsid w:val="0084493A"/>
    <w:rsid w:val="0084493C"/>
    <w:rsid w:val="00844CEC"/>
    <w:rsid w:val="00844E0E"/>
    <w:rsid w:val="00845630"/>
    <w:rsid w:val="00845896"/>
    <w:rsid w:val="00845B40"/>
    <w:rsid w:val="008461D0"/>
    <w:rsid w:val="008466CC"/>
    <w:rsid w:val="008468D2"/>
    <w:rsid w:val="00846B9A"/>
    <w:rsid w:val="0084708B"/>
    <w:rsid w:val="00847E19"/>
    <w:rsid w:val="00850CD3"/>
    <w:rsid w:val="0085112C"/>
    <w:rsid w:val="00851263"/>
    <w:rsid w:val="0085150B"/>
    <w:rsid w:val="0085183E"/>
    <w:rsid w:val="00852887"/>
    <w:rsid w:val="00852FCF"/>
    <w:rsid w:val="00853433"/>
    <w:rsid w:val="008536D6"/>
    <w:rsid w:val="00853766"/>
    <w:rsid w:val="00853A5E"/>
    <w:rsid w:val="00853F61"/>
    <w:rsid w:val="00854475"/>
    <w:rsid w:val="00854E60"/>
    <w:rsid w:val="00854F1F"/>
    <w:rsid w:val="0085586B"/>
    <w:rsid w:val="00855B42"/>
    <w:rsid w:val="00855F5F"/>
    <w:rsid w:val="0085639E"/>
    <w:rsid w:val="008565D3"/>
    <w:rsid w:val="008567F8"/>
    <w:rsid w:val="00856B1B"/>
    <w:rsid w:val="0085724C"/>
    <w:rsid w:val="008574D7"/>
    <w:rsid w:val="00857D58"/>
    <w:rsid w:val="008601A9"/>
    <w:rsid w:val="00860C62"/>
    <w:rsid w:val="0086157D"/>
    <w:rsid w:val="00861895"/>
    <w:rsid w:val="008622AA"/>
    <w:rsid w:val="00862A1D"/>
    <w:rsid w:val="00862ACD"/>
    <w:rsid w:val="00862BA0"/>
    <w:rsid w:val="00863708"/>
    <w:rsid w:val="008638A1"/>
    <w:rsid w:val="00863971"/>
    <w:rsid w:val="00863DEB"/>
    <w:rsid w:val="00863F76"/>
    <w:rsid w:val="00863FAD"/>
    <w:rsid w:val="008647FE"/>
    <w:rsid w:val="0086494C"/>
    <w:rsid w:val="00864D34"/>
    <w:rsid w:val="00864D69"/>
    <w:rsid w:val="0086517F"/>
    <w:rsid w:val="008651F9"/>
    <w:rsid w:val="008655D8"/>
    <w:rsid w:val="0086585A"/>
    <w:rsid w:val="00865B0D"/>
    <w:rsid w:val="0086636C"/>
    <w:rsid w:val="0086645B"/>
    <w:rsid w:val="0086664D"/>
    <w:rsid w:val="00866A30"/>
    <w:rsid w:val="00867351"/>
    <w:rsid w:val="00867652"/>
    <w:rsid w:val="00867756"/>
    <w:rsid w:val="00867ED2"/>
    <w:rsid w:val="00871205"/>
    <w:rsid w:val="0087179D"/>
    <w:rsid w:val="00871B33"/>
    <w:rsid w:val="00871D88"/>
    <w:rsid w:val="00871DC0"/>
    <w:rsid w:val="008721A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BB2"/>
    <w:rsid w:val="00875D39"/>
    <w:rsid w:val="00876BA3"/>
    <w:rsid w:val="00876E49"/>
    <w:rsid w:val="00877167"/>
    <w:rsid w:val="00877391"/>
    <w:rsid w:val="0087781F"/>
    <w:rsid w:val="00877B4E"/>
    <w:rsid w:val="0088062A"/>
    <w:rsid w:val="00880B88"/>
    <w:rsid w:val="00880F06"/>
    <w:rsid w:val="00881678"/>
    <w:rsid w:val="00881D8A"/>
    <w:rsid w:val="00882377"/>
    <w:rsid w:val="00882A30"/>
    <w:rsid w:val="0088310B"/>
    <w:rsid w:val="008833F1"/>
    <w:rsid w:val="008836AB"/>
    <w:rsid w:val="00883C32"/>
    <w:rsid w:val="00883CD5"/>
    <w:rsid w:val="00883E9B"/>
    <w:rsid w:val="00883EE7"/>
    <w:rsid w:val="00884360"/>
    <w:rsid w:val="008846AA"/>
    <w:rsid w:val="0088493A"/>
    <w:rsid w:val="00884ADD"/>
    <w:rsid w:val="008854C8"/>
    <w:rsid w:val="00885CDD"/>
    <w:rsid w:val="00886016"/>
    <w:rsid w:val="008862EF"/>
    <w:rsid w:val="00886E28"/>
    <w:rsid w:val="008874C6"/>
    <w:rsid w:val="00887874"/>
    <w:rsid w:val="00887BDA"/>
    <w:rsid w:val="00887E41"/>
    <w:rsid w:val="0089054E"/>
    <w:rsid w:val="008907B8"/>
    <w:rsid w:val="008907FD"/>
    <w:rsid w:val="00890F02"/>
    <w:rsid w:val="00891B62"/>
    <w:rsid w:val="00891DC0"/>
    <w:rsid w:val="008920B9"/>
    <w:rsid w:val="00892887"/>
    <w:rsid w:val="00892D75"/>
    <w:rsid w:val="00893981"/>
    <w:rsid w:val="00893BB7"/>
    <w:rsid w:val="008941DB"/>
    <w:rsid w:val="008944F8"/>
    <w:rsid w:val="00894546"/>
    <w:rsid w:val="00894774"/>
    <w:rsid w:val="008954D8"/>
    <w:rsid w:val="00895940"/>
    <w:rsid w:val="00895C7B"/>
    <w:rsid w:val="00895E31"/>
    <w:rsid w:val="0089695D"/>
    <w:rsid w:val="008969BA"/>
    <w:rsid w:val="00896D24"/>
    <w:rsid w:val="0089706F"/>
    <w:rsid w:val="0089712D"/>
    <w:rsid w:val="0089733D"/>
    <w:rsid w:val="00897566"/>
    <w:rsid w:val="008979DB"/>
    <w:rsid w:val="008A07A8"/>
    <w:rsid w:val="008A0AAD"/>
    <w:rsid w:val="008A0D4D"/>
    <w:rsid w:val="008A0E9B"/>
    <w:rsid w:val="008A0F8E"/>
    <w:rsid w:val="008A0FAB"/>
    <w:rsid w:val="008A1276"/>
    <w:rsid w:val="008A16EA"/>
    <w:rsid w:val="008A19CD"/>
    <w:rsid w:val="008A1A49"/>
    <w:rsid w:val="008A1C34"/>
    <w:rsid w:val="008A232D"/>
    <w:rsid w:val="008A2862"/>
    <w:rsid w:val="008A2C5D"/>
    <w:rsid w:val="008A2E6C"/>
    <w:rsid w:val="008A2F60"/>
    <w:rsid w:val="008A3046"/>
    <w:rsid w:val="008A309C"/>
    <w:rsid w:val="008A3DF9"/>
    <w:rsid w:val="008A5209"/>
    <w:rsid w:val="008A547E"/>
    <w:rsid w:val="008A5B1F"/>
    <w:rsid w:val="008A5DDC"/>
    <w:rsid w:val="008A5E8A"/>
    <w:rsid w:val="008A5FC8"/>
    <w:rsid w:val="008A60E2"/>
    <w:rsid w:val="008A66F4"/>
    <w:rsid w:val="008A7254"/>
    <w:rsid w:val="008A73F9"/>
    <w:rsid w:val="008A7474"/>
    <w:rsid w:val="008A7FB7"/>
    <w:rsid w:val="008B060F"/>
    <w:rsid w:val="008B0781"/>
    <w:rsid w:val="008B0B0A"/>
    <w:rsid w:val="008B0B42"/>
    <w:rsid w:val="008B0D56"/>
    <w:rsid w:val="008B0D89"/>
    <w:rsid w:val="008B131B"/>
    <w:rsid w:val="008B1427"/>
    <w:rsid w:val="008B1A4F"/>
    <w:rsid w:val="008B1A8B"/>
    <w:rsid w:val="008B2929"/>
    <w:rsid w:val="008B2CE0"/>
    <w:rsid w:val="008B2E67"/>
    <w:rsid w:val="008B31F9"/>
    <w:rsid w:val="008B3A18"/>
    <w:rsid w:val="008B3A74"/>
    <w:rsid w:val="008B3BD2"/>
    <w:rsid w:val="008B3C40"/>
    <w:rsid w:val="008B4276"/>
    <w:rsid w:val="008B428B"/>
    <w:rsid w:val="008B47F3"/>
    <w:rsid w:val="008B4A65"/>
    <w:rsid w:val="008B4AA4"/>
    <w:rsid w:val="008B4E9B"/>
    <w:rsid w:val="008B50DF"/>
    <w:rsid w:val="008B56A4"/>
    <w:rsid w:val="008B5A0C"/>
    <w:rsid w:val="008B5A72"/>
    <w:rsid w:val="008B5B36"/>
    <w:rsid w:val="008B5D4D"/>
    <w:rsid w:val="008B60D9"/>
    <w:rsid w:val="008B6162"/>
    <w:rsid w:val="008B6543"/>
    <w:rsid w:val="008B65D2"/>
    <w:rsid w:val="008B66DA"/>
    <w:rsid w:val="008B685F"/>
    <w:rsid w:val="008B6CEB"/>
    <w:rsid w:val="008B6D73"/>
    <w:rsid w:val="008B706F"/>
    <w:rsid w:val="008B7732"/>
    <w:rsid w:val="008B7F0F"/>
    <w:rsid w:val="008C04DF"/>
    <w:rsid w:val="008C082D"/>
    <w:rsid w:val="008C1041"/>
    <w:rsid w:val="008C16B2"/>
    <w:rsid w:val="008C1880"/>
    <w:rsid w:val="008C1897"/>
    <w:rsid w:val="008C1971"/>
    <w:rsid w:val="008C2027"/>
    <w:rsid w:val="008C2041"/>
    <w:rsid w:val="008C234C"/>
    <w:rsid w:val="008C2AD0"/>
    <w:rsid w:val="008C2FA8"/>
    <w:rsid w:val="008C31AE"/>
    <w:rsid w:val="008C321B"/>
    <w:rsid w:val="008C3BC3"/>
    <w:rsid w:val="008C4441"/>
    <w:rsid w:val="008C452F"/>
    <w:rsid w:val="008C49D9"/>
    <w:rsid w:val="008C4AF5"/>
    <w:rsid w:val="008C4B80"/>
    <w:rsid w:val="008C4BA1"/>
    <w:rsid w:val="008C5036"/>
    <w:rsid w:val="008C5399"/>
    <w:rsid w:val="008C53DE"/>
    <w:rsid w:val="008C57E9"/>
    <w:rsid w:val="008C5CA1"/>
    <w:rsid w:val="008C62E2"/>
    <w:rsid w:val="008C644C"/>
    <w:rsid w:val="008C6750"/>
    <w:rsid w:val="008C67E5"/>
    <w:rsid w:val="008C6827"/>
    <w:rsid w:val="008C6874"/>
    <w:rsid w:val="008C6AC2"/>
    <w:rsid w:val="008C7098"/>
    <w:rsid w:val="008C71E8"/>
    <w:rsid w:val="008C74B6"/>
    <w:rsid w:val="008C798F"/>
    <w:rsid w:val="008C7A3E"/>
    <w:rsid w:val="008C7C85"/>
    <w:rsid w:val="008D00FE"/>
    <w:rsid w:val="008D2147"/>
    <w:rsid w:val="008D21CD"/>
    <w:rsid w:val="008D252D"/>
    <w:rsid w:val="008D2817"/>
    <w:rsid w:val="008D2AC6"/>
    <w:rsid w:val="008D2CAF"/>
    <w:rsid w:val="008D303A"/>
    <w:rsid w:val="008D3ACE"/>
    <w:rsid w:val="008D3C0D"/>
    <w:rsid w:val="008D3C88"/>
    <w:rsid w:val="008D4E7E"/>
    <w:rsid w:val="008D51CC"/>
    <w:rsid w:val="008D56A6"/>
    <w:rsid w:val="008D648F"/>
    <w:rsid w:val="008D694B"/>
    <w:rsid w:val="008D6B57"/>
    <w:rsid w:val="008D6C14"/>
    <w:rsid w:val="008D7233"/>
    <w:rsid w:val="008D7344"/>
    <w:rsid w:val="008D76C3"/>
    <w:rsid w:val="008D7A55"/>
    <w:rsid w:val="008E0767"/>
    <w:rsid w:val="008E0BE2"/>
    <w:rsid w:val="008E0CD1"/>
    <w:rsid w:val="008E154E"/>
    <w:rsid w:val="008E1CB2"/>
    <w:rsid w:val="008E2389"/>
    <w:rsid w:val="008E31A9"/>
    <w:rsid w:val="008E3BA5"/>
    <w:rsid w:val="008E4F95"/>
    <w:rsid w:val="008E530B"/>
    <w:rsid w:val="008E5366"/>
    <w:rsid w:val="008E537C"/>
    <w:rsid w:val="008E5533"/>
    <w:rsid w:val="008E6325"/>
    <w:rsid w:val="008E6A0E"/>
    <w:rsid w:val="008E6D09"/>
    <w:rsid w:val="008E7511"/>
    <w:rsid w:val="008E775F"/>
    <w:rsid w:val="008E77B7"/>
    <w:rsid w:val="008E7B24"/>
    <w:rsid w:val="008F0271"/>
    <w:rsid w:val="008F034E"/>
    <w:rsid w:val="008F0CA5"/>
    <w:rsid w:val="008F1A30"/>
    <w:rsid w:val="008F1C6E"/>
    <w:rsid w:val="008F1EDC"/>
    <w:rsid w:val="008F1FC1"/>
    <w:rsid w:val="008F2238"/>
    <w:rsid w:val="008F2333"/>
    <w:rsid w:val="008F2691"/>
    <w:rsid w:val="008F2DF6"/>
    <w:rsid w:val="008F2E3D"/>
    <w:rsid w:val="008F35DC"/>
    <w:rsid w:val="008F3D89"/>
    <w:rsid w:val="008F41EA"/>
    <w:rsid w:val="008F46F4"/>
    <w:rsid w:val="008F478E"/>
    <w:rsid w:val="008F4D52"/>
    <w:rsid w:val="008F4E41"/>
    <w:rsid w:val="008F5276"/>
    <w:rsid w:val="008F6061"/>
    <w:rsid w:val="008F6222"/>
    <w:rsid w:val="008F665E"/>
    <w:rsid w:val="008F670B"/>
    <w:rsid w:val="008F76E4"/>
    <w:rsid w:val="008F7A00"/>
    <w:rsid w:val="00900C1C"/>
    <w:rsid w:val="00900F31"/>
    <w:rsid w:val="00900F65"/>
    <w:rsid w:val="009012AD"/>
    <w:rsid w:val="009014C8"/>
    <w:rsid w:val="009015BF"/>
    <w:rsid w:val="00901CCA"/>
    <w:rsid w:val="00901F0A"/>
    <w:rsid w:val="0090213F"/>
    <w:rsid w:val="009029B0"/>
    <w:rsid w:val="00902C58"/>
    <w:rsid w:val="009039B0"/>
    <w:rsid w:val="00903F01"/>
    <w:rsid w:val="0090408D"/>
    <w:rsid w:val="0090416F"/>
    <w:rsid w:val="00904580"/>
    <w:rsid w:val="00904757"/>
    <w:rsid w:val="00904B36"/>
    <w:rsid w:val="00904C80"/>
    <w:rsid w:val="00904E6B"/>
    <w:rsid w:val="00904FCB"/>
    <w:rsid w:val="00905159"/>
    <w:rsid w:val="009055BA"/>
    <w:rsid w:val="009056EC"/>
    <w:rsid w:val="0090598F"/>
    <w:rsid w:val="00905E74"/>
    <w:rsid w:val="009066C7"/>
    <w:rsid w:val="00906EEC"/>
    <w:rsid w:val="0090701B"/>
    <w:rsid w:val="0090773A"/>
    <w:rsid w:val="0091038F"/>
    <w:rsid w:val="00910AE9"/>
    <w:rsid w:val="009113C8"/>
    <w:rsid w:val="00912659"/>
    <w:rsid w:val="009129EF"/>
    <w:rsid w:val="0091310B"/>
    <w:rsid w:val="00913531"/>
    <w:rsid w:val="00913597"/>
    <w:rsid w:val="0091379B"/>
    <w:rsid w:val="0091384B"/>
    <w:rsid w:val="00913F33"/>
    <w:rsid w:val="00913F3A"/>
    <w:rsid w:val="00914204"/>
    <w:rsid w:val="00914306"/>
    <w:rsid w:val="00914392"/>
    <w:rsid w:val="009143B2"/>
    <w:rsid w:val="00914B33"/>
    <w:rsid w:val="00915411"/>
    <w:rsid w:val="00915C7E"/>
    <w:rsid w:val="00916505"/>
    <w:rsid w:val="009166AF"/>
    <w:rsid w:val="009168B3"/>
    <w:rsid w:val="00917477"/>
    <w:rsid w:val="00917569"/>
    <w:rsid w:val="00917862"/>
    <w:rsid w:val="00917BE4"/>
    <w:rsid w:val="009206C0"/>
    <w:rsid w:val="009222AF"/>
    <w:rsid w:val="00922606"/>
    <w:rsid w:val="00922791"/>
    <w:rsid w:val="00922D31"/>
    <w:rsid w:val="00923797"/>
    <w:rsid w:val="009239F9"/>
    <w:rsid w:val="00923F34"/>
    <w:rsid w:val="0092455C"/>
    <w:rsid w:val="0092549A"/>
    <w:rsid w:val="0092559F"/>
    <w:rsid w:val="00925C6F"/>
    <w:rsid w:val="0092607C"/>
    <w:rsid w:val="00926081"/>
    <w:rsid w:val="009264C1"/>
    <w:rsid w:val="0092675A"/>
    <w:rsid w:val="00927320"/>
    <w:rsid w:val="00930100"/>
    <w:rsid w:val="00930352"/>
    <w:rsid w:val="00930389"/>
    <w:rsid w:val="009305BC"/>
    <w:rsid w:val="00930B95"/>
    <w:rsid w:val="00930CDD"/>
    <w:rsid w:val="00930F94"/>
    <w:rsid w:val="009310DB"/>
    <w:rsid w:val="00931141"/>
    <w:rsid w:val="009316EE"/>
    <w:rsid w:val="00931B96"/>
    <w:rsid w:val="00931C86"/>
    <w:rsid w:val="00932105"/>
    <w:rsid w:val="00932289"/>
    <w:rsid w:val="00932771"/>
    <w:rsid w:val="00932A03"/>
    <w:rsid w:val="00932ED3"/>
    <w:rsid w:val="00933C65"/>
    <w:rsid w:val="00934D3B"/>
    <w:rsid w:val="00935224"/>
    <w:rsid w:val="00935665"/>
    <w:rsid w:val="00935B30"/>
    <w:rsid w:val="00936A42"/>
    <w:rsid w:val="00936A4E"/>
    <w:rsid w:val="00936E77"/>
    <w:rsid w:val="009370ED"/>
    <w:rsid w:val="00937965"/>
    <w:rsid w:val="00937E21"/>
    <w:rsid w:val="00940125"/>
    <w:rsid w:val="0094038F"/>
    <w:rsid w:val="0094067C"/>
    <w:rsid w:val="0094098F"/>
    <w:rsid w:val="00940AE9"/>
    <w:rsid w:val="00940C55"/>
    <w:rsid w:val="00940E97"/>
    <w:rsid w:val="00941580"/>
    <w:rsid w:val="00942058"/>
    <w:rsid w:val="00942117"/>
    <w:rsid w:val="00942962"/>
    <w:rsid w:val="00942B9A"/>
    <w:rsid w:val="00942E95"/>
    <w:rsid w:val="00943006"/>
    <w:rsid w:val="0094368F"/>
    <w:rsid w:val="00944A06"/>
    <w:rsid w:val="00944E0C"/>
    <w:rsid w:val="009455BE"/>
    <w:rsid w:val="00945998"/>
    <w:rsid w:val="00945CE8"/>
    <w:rsid w:val="00945EC6"/>
    <w:rsid w:val="00946AA1"/>
    <w:rsid w:val="00946BB2"/>
    <w:rsid w:val="00946C48"/>
    <w:rsid w:val="00946D8B"/>
    <w:rsid w:val="00946DD8"/>
    <w:rsid w:val="00946EFF"/>
    <w:rsid w:val="00946F6E"/>
    <w:rsid w:val="009474C2"/>
    <w:rsid w:val="0094777A"/>
    <w:rsid w:val="00947A98"/>
    <w:rsid w:val="009500F4"/>
    <w:rsid w:val="0095083A"/>
    <w:rsid w:val="00950D81"/>
    <w:rsid w:val="00951406"/>
    <w:rsid w:val="00951729"/>
    <w:rsid w:val="00951BD9"/>
    <w:rsid w:val="009526CC"/>
    <w:rsid w:val="00952A05"/>
    <w:rsid w:val="0095376E"/>
    <w:rsid w:val="00953831"/>
    <w:rsid w:val="00953F58"/>
    <w:rsid w:val="009543EB"/>
    <w:rsid w:val="00954978"/>
    <w:rsid w:val="00954B1B"/>
    <w:rsid w:val="00955633"/>
    <w:rsid w:val="00955C97"/>
    <w:rsid w:val="00956832"/>
    <w:rsid w:val="00957B9C"/>
    <w:rsid w:val="00957C1E"/>
    <w:rsid w:val="00957C86"/>
    <w:rsid w:val="0096019A"/>
    <w:rsid w:val="00960B00"/>
    <w:rsid w:val="00960F15"/>
    <w:rsid w:val="00961987"/>
    <w:rsid w:val="00961A98"/>
    <w:rsid w:val="00961C86"/>
    <w:rsid w:val="009620E6"/>
    <w:rsid w:val="009623AB"/>
    <w:rsid w:val="009628F8"/>
    <w:rsid w:val="00962AFE"/>
    <w:rsid w:val="00962F2F"/>
    <w:rsid w:val="00963063"/>
    <w:rsid w:val="009631BA"/>
    <w:rsid w:val="009631C3"/>
    <w:rsid w:val="00963306"/>
    <w:rsid w:val="00963456"/>
    <w:rsid w:val="0096378F"/>
    <w:rsid w:val="009637A0"/>
    <w:rsid w:val="009637E3"/>
    <w:rsid w:val="00964131"/>
    <w:rsid w:val="00964206"/>
    <w:rsid w:val="00965380"/>
    <w:rsid w:val="009656EE"/>
    <w:rsid w:val="00965871"/>
    <w:rsid w:val="009659A9"/>
    <w:rsid w:val="00965CE7"/>
    <w:rsid w:val="00965E26"/>
    <w:rsid w:val="0096617F"/>
    <w:rsid w:val="009663C6"/>
    <w:rsid w:val="0096643C"/>
    <w:rsid w:val="00966F17"/>
    <w:rsid w:val="009676B4"/>
    <w:rsid w:val="00967ED7"/>
    <w:rsid w:val="00970102"/>
    <w:rsid w:val="00970139"/>
    <w:rsid w:val="00970354"/>
    <w:rsid w:val="00970A6B"/>
    <w:rsid w:val="00970E6B"/>
    <w:rsid w:val="00971154"/>
    <w:rsid w:val="00971171"/>
    <w:rsid w:val="00971251"/>
    <w:rsid w:val="009713C6"/>
    <w:rsid w:val="009718E6"/>
    <w:rsid w:val="00971D9B"/>
    <w:rsid w:val="00972EC5"/>
    <w:rsid w:val="009731EC"/>
    <w:rsid w:val="009732E9"/>
    <w:rsid w:val="00973586"/>
    <w:rsid w:val="00973610"/>
    <w:rsid w:val="009737D9"/>
    <w:rsid w:val="00973C29"/>
    <w:rsid w:val="00973F7E"/>
    <w:rsid w:val="00974D59"/>
    <w:rsid w:val="00975363"/>
    <w:rsid w:val="009758E3"/>
    <w:rsid w:val="009763C4"/>
    <w:rsid w:val="00976C4F"/>
    <w:rsid w:val="009772F1"/>
    <w:rsid w:val="00977A6B"/>
    <w:rsid w:val="009803F1"/>
    <w:rsid w:val="0098059A"/>
    <w:rsid w:val="009807B4"/>
    <w:rsid w:val="009815EC"/>
    <w:rsid w:val="0098182A"/>
    <w:rsid w:val="00981CB7"/>
    <w:rsid w:val="009828C6"/>
    <w:rsid w:val="00982964"/>
    <w:rsid w:val="00982992"/>
    <w:rsid w:val="00982EA2"/>
    <w:rsid w:val="00983A84"/>
    <w:rsid w:val="00983B4C"/>
    <w:rsid w:val="00983DFB"/>
    <w:rsid w:val="00983E9E"/>
    <w:rsid w:val="009844F7"/>
    <w:rsid w:val="00984753"/>
    <w:rsid w:val="00984AA1"/>
    <w:rsid w:val="00985303"/>
    <w:rsid w:val="00985462"/>
    <w:rsid w:val="00985463"/>
    <w:rsid w:val="00985605"/>
    <w:rsid w:val="0098582B"/>
    <w:rsid w:val="00985947"/>
    <w:rsid w:val="00985FE7"/>
    <w:rsid w:val="00986029"/>
    <w:rsid w:val="009861AC"/>
    <w:rsid w:val="009863A5"/>
    <w:rsid w:val="00986B87"/>
    <w:rsid w:val="009872BB"/>
    <w:rsid w:val="009879A1"/>
    <w:rsid w:val="00987CE1"/>
    <w:rsid w:val="00987D8B"/>
    <w:rsid w:val="00990441"/>
    <w:rsid w:val="0099079E"/>
    <w:rsid w:val="0099086F"/>
    <w:rsid w:val="00990D82"/>
    <w:rsid w:val="0099188F"/>
    <w:rsid w:val="0099189A"/>
    <w:rsid w:val="00991F5D"/>
    <w:rsid w:val="0099281E"/>
    <w:rsid w:val="00992870"/>
    <w:rsid w:val="009930B9"/>
    <w:rsid w:val="009934E2"/>
    <w:rsid w:val="00993543"/>
    <w:rsid w:val="00993AA0"/>
    <w:rsid w:val="00993AB6"/>
    <w:rsid w:val="00993BBE"/>
    <w:rsid w:val="00993DDC"/>
    <w:rsid w:val="00994079"/>
    <w:rsid w:val="00994F59"/>
    <w:rsid w:val="009956AF"/>
    <w:rsid w:val="00995933"/>
    <w:rsid w:val="00995AD4"/>
    <w:rsid w:val="00995FFD"/>
    <w:rsid w:val="00996A15"/>
    <w:rsid w:val="00996E03"/>
    <w:rsid w:val="009973E6"/>
    <w:rsid w:val="00997F4B"/>
    <w:rsid w:val="009A0B5D"/>
    <w:rsid w:val="009A12E5"/>
    <w:rsid w:val="009A1465"/>
    <w:rsid w:val="009A244C"/>
    <w:rsid w:val="009A2541"/>
    <w:rsid w:val="009A2BBB"/>
    <w:rsid w:val="009A2C08"/>
    <w:rsid w:val="009A2CD1"/>
    <w:rsid w:val="009A2DC9"/>
    <w:rsid w:val="009A35A6"/>
    <w:rsid w:val="009A3612"/>
    <w:rsid w:val="009A398C"/>
    <w:rsid w:val="009A3BBB"/>
    <w:rsid w:val="009A4007"/>
    <w:rsid w:val="009A4059"/>
    <w:rsid w:val="009A44C8"/>
    <w:rsid w:val="009A4579"/>
    <w:rsid w:val="009A45B0"/>
    <w:rsid w:val="009A4755"/>
    <w:rsid w:val="009A4EAB"/>
    <w:rsid w:val="009A513D"/>
    <w:rsid w:val="009A544C"/>
    <w:rsid w:val="009A5BCC"/>
    <w:rsid w:val="009A5F58"/>
    <w:rsid w:val="009A64B0"/>
    <w:rsid w:val="009A6534"/>
    <w:rsid w:val="009A661D"/>
    <w:rsid w:val="009A6A6F"/>
    <w:rsid w:val="009A735F"/>
    <w:rsid w:val="009A7D52"/>
    <w:rsid w:val="009B07DC"/>
    <w:rsid w:val="009B1226"/>
    <w:rsid w:val="009B13B9"/>
    <w:rsid w:val="009B1AD4"/>
    <w:rsid w:val="009B1B69"/>
    <w:rsid w:val="009B1B70"/>
    <w:rsid w:val="009B1D67"/>
    <w:rsid w:val="009B25FD"/>
    <w:rsid w:val="009B3317"/>
    <w:rsid w:val="009B47EE"/>
    <w:rsid w:val="009B4CFF"/>
    <w:rsid w:val="009B533B"/>
    <w:rsid w:val="009B593E"/>
    <w:rsid w:val="009B5A67"/>
    <w:rsid w:val="009B5FCC"/>
    <w:rsid w:val="009B7570"/>
    <w:rsid w:val="009C0336"/>
    <w:rsid w:val="009C0DCE"/>
    <w:rsid w:val="009C1051"/>
    <w:rsid w:val="009C1140"/>
    <w:rsid w:val="009C137B"/>
    <w:rsid w:val="009C16FB"/>
    <w:rsid w:val="009C1772"/>
    <w:rsid w:val="009C17DA"/>
    <w:rsid w:val="009C18CC"/>
    <w:rsid w:val="009C1C22"/>
    <w:rsid w:val="009C1F5C"/>
    <w:rsid w:val="009C1F80"/>
    <w:rsid w:val="009C28F6"/>
    <w:rsid w:val="009C2C62"/>
    <w:rsid w:val="009C2FC1"/>
    <w:rsid w:val="009C3267"/>
    <w:rsid w:val="009C37B1"/>
    <w:rsid w:val="009C3AFB"/>
    <w:rsid w:val="009C3B95"/>
    <w:rsid w:val="009C3C80"/>
    <w:rsid w:val="009C428C"/>
    <w:rsid w:val="009C470D"/>
    <w:rsid w:val="009C4CD0"/>
    <w:rsid w:val="009C55E1"/>
    <w:rsid w:val="009C5952"/>
    <w:rsid w:val="009C5CA0"/>
    <w:rsid w:val="009C638B"/>
    <w:rsid w:val="009C6CE1"/>
    <w:rsid w:val="009C6EA1"/>
    <w:rsid w:val="009C7811"/>
    <w:rsid w:val="009C7998"/>
    <w:rsid w:val="009C7AEF"/>
    <w:rsid w:val="009C7EF9"/>
    <w:rsid w:val="009D0107"/>
    <w:rsid w:val="009D05E0"/>
    <w:rsid w:val="009D0E89"/>
    <w:rsid w:val="009D199C"/>
    <w:rsid w:val="009D1F22"/>
    <w:rsid w:val="009D217F"/>
    <w:rsid w:val="009D2594"/>
    <w:rsid w:val="009D29E9"/>
    <w:rsid w:val="009D2A08"/>
    <w:rsid w:val="009D3626"/>
    <w:rsid w:val="009D3AEE"/>
    <w:rsid w:val="009D3B66"/>
    <w:rsid w:val="009D443F"/>
    <w:rsid w:val="009D4846"/>
    <w:rsid w:val="009D655A"/>
    <w:rsid w:val="009D68FB"/>
    <w:rsid w:val="009D6EE3"/>
    <w:rsid w:val="009D72FC"/>
    <w:rsid w:val="009D76FA"/>
    <w:rsid w:val="009D771F"/>
    <w:rsid w:val="009D7AF4"/>
    <w:rsid w:val="009D7BA9"/>
    <w:rsid w:val="009D7CD5"/>
    <w:rsid w:val="009E04B3"/>
    <w:rsid w:val="009E0780"/>
    <w:rsid w:val="009E0DFC"/>
    <w:rsid w:val="009E12EA"/>
    <w:rsid w:val="009E1765"/>
    <w:rsid w:val="009E1880"/>
    <w:rsid w:val="009E1A06"/>
    <w:rsid w:val="009E1A85"/>
    <w:rsid w:val="009E1D48"/>
    <w:rsid w:val="009E2202"/>
    <w:rsid w:val="009E247B"/>
    <w:rsid w:val="009E290F"/>
    <w:rsid w:val="009E36A5"/>
    <w:rsid w:val="009E41A0"/>
    <w:rsid w:val="009E442B"/>
    <w:rsid w:val="009E46AE"/>
    <w:rsid w:val="009E48FD"/>
    <w:rsid w:val="009E5252"/>
    <w:rsid w:val="009E5B74"/>
    <w:rsid w:val="009E5FF1"/>
    <w:rsid w:val="009E644A"/>
    <w:rsid w:val="009E66F3"/>
    <w:rsid w:val="009E6E9A"/>
    <w:rsid w:val="009E7888"/>
    <w:rsid w:val="009E7C14"/>
    <w:rsid w:val="009F0803"/>
    <w:rsid w:val="009F094B"/>
    <w:rsid w:val="009F0A01"/>
    <w:rsid w:val="009F1084"/>
    <w:rsid w:val="009F1379"/>
    <w:rsid w:val="009F1B45"/>
    <w:rsid w:val="009F1B50"/>
    <w:rsid w:val="009F1EFE"/>
    <w:rsid w:val="009F1F1A"/>
    <w:rsid w:val="009F2019"/>
    <w:rsid w:val="009F2D3D"/>
    <w:rsid w:val="009F2F13"/>
    <w:rsid w:val="009F3B2B"/>
    <w:rsid w:val="009F3C1C"/>
    <w:rsid w:val="009F3CA2"/>
    <w:rsid w:val="009F3EA2"/>
    <w:rsid w:val="009F419C"/>
    <w:rsid w:val="009F43E0"/>
    <w:rsid w:val="009F49B2"/>
    <w:rsid w:val="009F52C1"/>
    <w:rsid w:val="009F52CE"/>
    <w:rsid w:val="009F5429"/>
    <w:rsid w:val="009F5EB6"/>
    <w:rsid w:val="009F62D9"/>
    <w:rsid w:val="009F6579"/>
    <w:rsid w:val="009F67C0"/>
    <w:rsid w:val="009F6C9D"/>
    <w:rsid w:val="009F790C"/>
    <w:rsid w:val="00A00281"/>
    <w:rsid w:val="00A00C12"/>
    <w:rsid w:val="00A016F4"/>
    <w:rsid w:val="00A01D7B"/>
    <w:rsid w:val="00A0211B"/>
    <w:rsid w:val="00A02326"/>
    <w:rsid w:val="00A037BA"/>
    <w:rsid w:val="00A03AB2"/>
    <w:rsid w:val="00A03AC2"/>
    <w:rsid w:val="00A03C7D"/>
    <w:rsid w:val="00A0404D"/>
    <w:rsid w:val="00A042A2"/>
    <w:rsid w:val="00A04583"/>
    <w:rsid w:val="00A04B94"/>
    <w:rsid w:val="00A04CCE"/>
    <w:rsid w:val="00A04D6C"/>
    <w:rsid w:val="00A053A2"/>
    <w:rsid w:val="00A055A5"/>
    <w:rsid w:val="00A05974"/>
    <w:rsid w:val="00A059F8"/>
    <w:rsid w:val="00A05DD6"/>
    <w:rsid w:val="00A06074"/>
    <w:rsid w:val="00A0626C"/>
    <w:rsid w:val="00A06502"/>
    <w:rsid w:val="00A06F11"/>
    <w:rsid w:val="00A07A85"/>
    <w:rsid w:val="00A07C1C"/>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D03"/>
    <w:rsid w:val="00A14F1F"/>
    <w:rsid w:val="00A15328"/>
    <w:rsid w:val="00A156C6"/>
    <w:rsid w:val="00A15D7C"/>
    <w:rsid w:val="00A1621F"/>
    <w:rsid w:val="00A16688"/>
    <w:rsid w:val="00A16A4D"/>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050"/>
    <w:rsid w:val="00A242F7"/>
    <w:rsid w:val="00A24F6B"/>
    <w:rsid w:val="00A25337"/>
    <w:rsid w:val="00A25565"/>
    <w:rsid w:val="00A25E59"/>
    <w:rsid w:val="00A25FA0"/>
    <w:rsid w:val="00A2678B"/>
    <w:rsid w:val="00A30541"/>
    <w:rsid w:val="00A30B98"/>
    <w:rsid w:val="00A31884"/>
    <w:rsid w:val="00A31A3C"/>
    <w:rsid w:val="00A320C1"/>
    <w:rsid w:val="00A320ED"/>
    <w:rsid w:val="00A3219D"/>
    <w:rsid w:val="00A321B6"/>
    <w:rsid w:val="00A321B7"/>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D61"/>
    <w:rsid w:val="00A35E95"/>
    <w:rsid w:val="00A361CA"/>
    <w:rsid w:val="00A365D9"/>
    <w:rsid w:val="00A36AB7"/>
    <w:rsid w:val="00A374EB"/>
    <w:rsid w:val="00A3768F"/>
    <w:rsid w:val="00A37C4A"/>
    <w:rsid w:val="00A40131"/>
    <w:rsid w:val="00A402A1"/>
    <w:rsid w:val="00A40334"/>
    <w:rsid w:val="00A40605"/>
    <w:rsid w:val="00A40A58"/>
    <w:rsid w:val="00A40AC3"/>
    <w:rsid w:val="00A41335"/>
    <w:rsid w:val="00A41D8A"/>
    <w:rsid w:val="00A4274E"/>
    <w:rsid w:val="00A42D1C"/>
    <w:rsid w:val="00A43F59"/>
    <w:rsid w:val="00A44175"/>
    <w:rsid w:val="00A44D8F"/>
    <w:rsid w:val="00A455A8"/>
    <w:rsid w:val="00A45A85"/>
    <w:rsid w:val="00A45C4D"/>
    <w:rsid w:val="00A46170"/>
    <w:rsid w:val="00A46260"/>
    <w:rsid w:val="00A464DE"/>
    <w:rsid w:val="00A46777"/>
    <w:rsid w:val="00A468A4"/>
    <w:rsid w:val="00A46B45"/>
    <w:rsid w:val="00A46CF2"/>
    <w:rsid w:val="00A46E08"/>
    <w:rsid w:val="00A46E8E"/>
    <w:rsid w:val="00A46F7D"/>
    <w:rsid w:val="00A475B0"/>
    <w:rsid w:val="00A4778A"/>
    <w:rsid w:val="00A4789B"/>
    <w:rsid w:val="00A502C3"/>
    <w:rsid w:val="00A50455"/>
    <w:rsid w:val="00A506EA"/>
    <w:rsid w:val="00A50D22"/>
    <w:rsid w:val="00A50E14"/>
    <w:rsid w:val="00A51233"/>
    <w:rsid w:val="00A512C3"/>
    <w:rsid w:val="00A51CDD"/>
    <w:rsid w:val="00A5223C"/>
    <w:rsid w:val="00A522C3"/>
    <w:rsid w:val="00A528B0"/>
    <w:rsid w:val="00A52DCE"/>
    <w:rsid w:val="00A53477"/>
    <w:rsid w:val="00A54390"/>
    <w:rsid w:val="00A54431"/>
    <w:rsid w:val="00A54E22"/>
    <w:rsid w:val="00A55140"/>
    <w:rsid w:val="00A562CA"/>
    <w:rsid w:val="00A56787"/>
    <w:rsid w:val="00A5694E"/>
    <w:rsid w:val="00A571AE"/>
    <w:rsid w:val="00A571FE"/>
    <w:rsid w:val="00A5759A"/>
    <w:rsid w:val="00A575B4"/>
    <w:rsid w:val="00A578F0"/>
    <w:rsid w:val="00A5796A"/>
    <w:rsid w:val="00A57DDC"/>
    <w:rsid w:val="00A60300"/>
    <w:rsid w:val="00A60395"/>
    <w:rsid w:val="00A60929"/>
    <w:rsid w:val="00A61063"/>
    <w:rsid w:val="00A61836"/>
    <w:rsid w:val="00A61B26"/>
    <w:rsid w:val="00A61D1D"/>
    <w:rsid w:val="00A61D8E"/>
    <w:rsid w:val="00A61EE9"/>
    <w:rsid w:val="00A622F0"/>
    <w:rsid w:val="00A6266A"/>
    <w:rsid w:val="00A6287E"/>
    <w:rsid w:val="00A62E36"/>
    <w:rsid w:val="00A63507"/>
    <w:rsid w:val="00A63FB2"/>
    <w:rsid w:val="00A64465"/>
    <w:rsid w:val="00A64751"/>
    <w:rsid w:val="00A64A3F"/>
    <w:rsid w:val="00A64DC9"/>
    <w:rsid w:val="00A64E2A"/>
    <w:rsid w:val="00A65280"/>
    <w:rsid w:val="00A65624"/>
    <w:rsid w:val="00A658A4"/>
    <w:rsid w:val="00A67085"/>
    <w:rsid w:val="00A6710A"/>
    <w:rsid w:val="00A67354"/>
    <w:rsid w:val="00A675BB"/>
    <w:rsid w:val="00A67EC3"/>
    <w:rsid w:val="00A7079A"/>
    <w:rsid w:val="00A70B3A"/>
    <w:rsid w:val="00A70C28"/>
    <w:rsid w:val="00A70DF7"/>
    <w:rsid w:val="00A711F0"/>
    <w:rsid w:val="00A71593"/>
    <w:rsid w:val="00A71EFB"/>
    <w:rsid w:val="00A721B4"/>
    <w:rsid w:val="00A72644"/>
    <w:rsid w:val="00A72B79"/>
    <w:rsid w:val="00A72BFA"/>
    <w:rsid w:val="00A73268"/>
    <w:rsid w:val="00A737FD"/>
    <w:rsid w:val="00A73BD7"/>
    <w:rsid w:val="00A742C7"/>
    <w:rsid w:val="00A743AB"/>
    <w:rsid w:val="00A7453E"/>
    <w:rsid w:val="00A753C0"/>
    <w:rsid w:val="00A75510"/>
    <w:rsid w:val="00A761E5"/>
    <w:rsid w:val="00A765B3"/>
    <w:rsid w:val="00A76683"/>
    <w:rsid w:val="00A77212"/>
    <w:rsid w:val="00A77C2C"/>
    <w:rsid w:val="00A80062"/>
    <w:rsid w:val="00A80110"/>
    <w:rsid w:val="00A8057F"/>
    <w:rsid w:val="00A8095B"/>
    <w:rsid w:val="00A80A99"/>
    <w:rsid w:val="00A80F27"/>
    <w:rsid w:val="00A81716"/>
    <w:rsid w:val="00A8182F"/>
    <w:rsid w:val="00A81C19"/>
    <w:rsid w:val="00A82146"/>
    <w:rsid w:val="00A823A7"/>
    <w:rsid w:val="00A82545"/>
    <w:rsid w:val="00A82683"/>
    <w:rsid w:val="00A82865"/>
    <w:rsid w:val="00A82B55"/>
    <w:rsid w:val="00A82C68"/>
    <w:rsid w:val="00A831D9"/>
    <w:rsid w:val="00A83508"/>
    <w:rsid w:val="00A856EB"/>
    <w:rsid w:val="00A85BC5"/>
    <w:rsid w:val="00A85CF0"/>
    <w:rsid w:val="00A86236"/>
    <w:rsid w:val="00A86C9C"/>
    <w:rsid w:val="00A875E3"/>
    <w:rsid w:val="00A87694"/>
    <w:rsid w:val="00A8770F"/>
    <w:rsid w:val="00A87946"/>
    <w:rsid w:val="00A87A9E"/>
    <w:rsid w:val="00A87CDA"/>
    <w:rsid w:val="00A9022E"/>
    <w:rsid w:val="00A902D4"/>
    <w:rsid w:val="00A9079C"/>
    <w:rsid w:val="00A90991"/>
    <w:rsid w:val="00A90C0D"/>
    <w:rsid w:val="00A90C5E"/>
    <w:rsid w:val="00A90FFB"/>
    <w:rsid w:val="00A91128"/>
    <w:rsid w:val="00A91257"/>
    <w:rsid w:val="00A919C2"/>
    <w:rsid w:val="00A9209F"/>
    <w:rsid w:val="00A9235A"/>
    <w:rsid w:val="00A92C0D"/>
    <w:rsid w:val="00A92EB1"/>
    <w:rsid w:val="00A93011"/>
    <w:rsid w:val="00A93BE0"/>
    <w:rsid w:val="00A93C25"/>
    <w:rsid w:val="00A93E1B"/>
    <w:rsid w:val="00A9408B"/>
    <w:rsid w:val="00A942E6"/>
    <w:rsid w:val="00A943B2"/>
    <w:rsid w:val="00A94442"/>
    <w:rsid w:val="00A944F2"/>
    <w:rsid w:val="00A9464D"/>
    <w:rsid w:val="00A94974"/>
    <w:rsid w:val="00A94DD9"/>
    <w:rsid w:val="00A9539C"/>
    <w:rsid w:val="00A95683"/>
    <w:rsid w:val="00A956C3"/>
    <w:rsid w:val="00A95955"/>
    <w:rsid w:val="00A9632E"/>
    <w:rsid w:val="00A9641B"/>
    <w:rsid w:val="00A9643B"/>
    <w:rsid w:val="00A96700"/>
    <w:rsid w:val="00A967CF"/>
    <w:rsid w:val="00A96E21"/>
    <w:rsid w:val="00A96E34"/>
    <w:rsid w:val="00A96FA8"/>
    <w:rsid w:val="00A979B1"/>
    <w:rsid w:val="00AA0AD4"/>
    <w:rsid w:val="00AA1022"/>
    <w:rsid w:val="00AA1165"/>
    <w:rsid w:val="00AA1480"/>
    <w:rsid w:val="00AA1656"/>
    <w:rsid w:val="00AA1B82"/>
    <w:rsid w:val="00AA1E32"/>
    <w:rsid w:val="00AA1F66"/>
    <w:rsid w:val="00AA2601"/>
    <w:rsid w:val="00AA2A10"/>
    <w:rsid w:val="00AA30A2"/>
    <w:rsid w:val="00AA310F"/>
    <w:rsid w:val="00AA3467"/>
    <w:rsid w:val="00AA3647"/>
    <w:rsid w:val="00AA3682"/>
    <w:rsid w:val="00AA397F"/>
    <w:rsid w:val="00AA3B66"/>
    <w:rsid w:val="00AA3F31"/>
    <w:rsid w:val="00AA437A"/>
    <w:rsid w:val="00AA43BD"/>
    <w:rsid w:val="00AA4625"/>
    <w:rsid w:val="00AA4E30"/>
    <w:rsid w:val="00AA5517"/>
    <w:rsid w:val="00AA6760"/>
    <w:rsid w:val="00AA6BB6"/>
    <w:rsid w:val="00AA7BCE"/>
    <w:rsid w:val="00AA7D57"/>
    <w:rsid w:val="00AB023E"/>
    <w:rsid w:val="00AB02E9"/>
    <w:rsid w:val="00AB07B5"/>
    <w:rsid w:val="00AB10EA"/>
    <w:rsid w:val="00AB16B3"/>
    <w:rsid w:val="00AB1EFA"/>
    <w:rsid w:val="00AB1F1A"/>
    <w:rsid w:val="00AB2EE7"/>
    <w:rsid w:val="00AB31D7"/>
    <w:rsid w:val="00AB33AA"/>
    <w:rsid w:val="00AB3F0D"/>
    <w:rsid w:val="00AB44BD"/>
    <w:rsid w:val="00AB4639"/>
    <w:rsid w:val="00AB4BA0"/>
    <w:rsid w:val="00AB53E4"/>
    <w:rsid w:val="00AB5467"/>
    <w:rsid w:val="00AB5488"/>
    <w:rsid w:val="00AB5B32"/>
    <w:rsid w:val="00AB6007"/>
    <w:rsid w:val="00AB6420"/>
    <w:rsid w:val="00AB6451"/>
    <w:rsid w:val="00AB6588"/>
    <w:rsid w:val="00AB6591"/>
    <w:rsid w:val="00AB676F"/>
    <w:rsid w:val="00AB6C7B"/>
    <w:rsid w:val="00AB6EAC"/>
    <w:rsid w:val="00AC00D2"/>
    <w:rsid w:val="00AC0512"/>
    <w:rsid w:val="00AC0699"/>
    <w:rsid w:val="00AC1070"/>
    <w:rsid w:val="00AC1085"/>
    <w:rsid w:val="00AC11B0"/>
    <w:rsid w:val="00AC191A"/>
    <w:rsid w:val="00AC2298"/>
    <w:rsid w:val="00AC252B"/>
    <w:rsid w:val="00AC2B21"/>
    <w:rsid w:val="00AC2BEF"/>
    <w:rsid w:val="00AC2F08"/>
    <w:rsid w:val="00AC35B2"/>
    <w:rsid w:val="00AC3610"/>
    <w:rsid w:val="00AC3CBD"/>
    <w:rsid w:val="00AC4B39"/>
    <w:rsid w:val="00AC4F34"/>
    <w:rsid w:val="00AC50BC"/>
    <w:rsid w:val="00AC51FF"/>
    <w:rsid w:val="00AC529C"/>
    <w:rsid w:val="00AC58E2"/>
    <w:rsid w:val="00AC606C"/>
    <w:rsid w:val="00AC6104"/>
    <w:rsid w:val="00AC6198"/>
    <w:rsid w:val="00AC63AC"/>
    <w:rsid w:val="00AC69E5"/>
    <w:rsid w:val="00AC6EC2"/>
    <w:rsid w:val="00AC6FBC"/>
    <w:rsid w:val="00AC6FC6"/>
    <w:rsid w:val="00AC754F"/>
    <w:rsid w:val="00AC7CA6"/>
    <w:rsid w:val="00AC7E00"/>
    <w:rsid w:val="00AD0265"/>
    <w:rsid w:val="00AD047A"/>
    <w:rsid w:val="00AD0580"/>
    <w:rsid w:val="00AD0DE9"/>
    <w:rsid w:val="00AD13C0"/>
    <w:rsid w:val="00AD1F3E"/>
    <w:rsid w:val="00AD2036"/>
    <w:rsid w:val="00AD22E3"/>
    <w:rsid w:val="00AD23CD"/>
    <w:rsid w:val="00AD2636"/>
    <w:rsid w:val="00AD2971"/>
    <w:rsid w:val="00AD2F97"/>
    <w:rsid w:val="00AD3D8D"/>
    <w:rsid w:val="00AD4439"/>
    <w:rsid w:val="00AD485E"/>
    <w:rsid w:val="00AD5FE2"/>
    <w:rsid w:val="00AD61F8"/>
    <w:rsid w:val="00AD69B3"/>
    <w:rsid w:val="00AD6DFE"/>
    <w:rsid w:val="00AD76F2"/>
    <w:rsid w:val="00AD7D03"/>
    <w:rsid w:val="00AE1224"/>
    <w:rsid w:val="00AE12C5"/>
    <w:rsid w:val="00AE14BE"/>
    <w:rsid w:val="00AE18A3"/>
    <w:rsid w:val="00AE1D8B"/>
    <w:rsid w:val="00AE1DBB"/>
    <w:rsid w:val="00AE1F22"/>
    <w:rsid w:val="00AE2B31"/>
    <w:rsid w:val="00AE335D"/>
    <w:rsid w:val="00AE3505"/>
    <w:rsid w:val="00AE3756"/>
    <w:rsid w:val="00AE3A4B"/>
    <w:rsid w:val="00AE3A63"/>
    <w:rsid w:val="00AE4572"/>
    <w:rsid w:val="00AE4755"/>
    <w:rsid w:val="00AE53FF"/>
    <w:rsid w:val="00AE5416"/>
    <w:rsid w:val="00AE5435"/>
    <w:rsid w:val="00AE5860"/>
    <w:rsid w:val="00AE5C7D"/>
    <w:rsid w:val="00AE645C"/>
    <w:rsid w:val="00AE749F"/>
    <w:rsid w:val="00AE7DED"/>
    <w:rsid w:val="00AF10FA"/>
    <w:rsid w:val="00AF1682"/>
    <w:rsid w:val="00AF212E"/>
    <w:rsid w:val="00AF2255"/>
    <w:rsid w:val="00AF2918"/>
    <w:rsid w:val="00AF2CC3"/>
    <w:rsid w:val="00AF2F5C"/>
    <w:rsid w:val="00AF3ABE"/>
    <w:rsid w:val="00AF3C6E"/>
    <w:rsid w:val="00AF49C5"/>
    <w:rsid w:val="00AF52E0"/>
    <w:rsid w:val="00AF5615"/>
    <w:rsid w:val="00AF570F"/>
    <w:rsid w:val="00AF57C6"/>
    <w:rsid w:val="00AF5C84"/>
    <w:rsid w:val="00AF6079"/>
    <w:rsid w:val="00AF6286"/>
    <w:rsid w:val="00AF62CF"/>
    <w:rsid w:val="00AF6749"/>
    <w:rsid w:val="00AF6959"/>
    <w:rsid w:val="00AF7408"/>
    <w:rsid w:val="00AF7AC8"/>
    <w:rsid w:val="00AF7B24"/>
    <w:rsid w:val="00AF7F9A"/>
    <w:rsid w:val="00B00520"/>
    <w:rsid w:val="00B00B25"/>
    <w:rsid w:val="00B00E75"/>
    <w:rsid w:val="00B00F8E"/>
    <w:rsid w:val="00B014D0"/>
    <w:rsid w:val="00B0199F"/>
    <w:rsid w:val="00B01F9C"/>
    <w:rsid w:val="00B020E0"/>
    <w:rsid w:val="00B0210B"/>
    <w:rsid w:val="00B0226D"/>
    <w:rsid w:val="00B023CB"/>
    <w:rsid w:val="00B02CD1"/>
    <w:rsid w:val="00B03649"/>
    <w:rsid w:val="00B03B39"/>
    <w:rsid w:val="00B03CB0"/>
    <w:rsid w:val="00B041A9"/>
    <w:rsid w:val="00B04350"/>
    <w:rsid w:val="00B0465E"/>
    <w:rsid w:val="00B04F0C"/>
    <w:rsid w:val="00B04FC3"/>
    <w:rsid w:val="00B0515F"/>
    <w:rsid w:val="00B05CBC"/>
    <w:rsid w:val="00B06363"/>
    <w:rsid w:val="00B06440"/>
    <w:rsid w:val="00B068C8"/>
    <w:rsid w:val="00B06A70"/>
    <w:rsid w:val="00B06B41"/>
    <w:rsid w:val="00B06BA8"/>
    <w:rsid w:val="00B06D0F"/>
    <w:rsid w:val="00B076BD"/>
    <w:rsid w:val="00B07A12"/>
    <w:rsid w:val="00B07A6A"/>
    <w:rsid w:val="00B07B44"/>
    <w:rsid w:val="00B07BD4"/>
    <w:rsid w:val="00B07BE6"/>
    <w:rsid w:val="00B10606"/>
    <w:rsid w:val="00B10A7B"/>
    <w:rsid w:val="00B10AC7"/>
    <w:rsid w:val="00B10BBD"/>
    <w:rsid w:val="00B1122A"/>
    <w:rsid w:val="00B11638"/>
    <w:rsid w:val="00B1199E"/>
    <w:rsid w:val="00B1218F"/>
    <w:rsid w:val="00B122CE"/>
    <w:rsid w:val="00B12341"/>
    <w:rsid w:val="00B12832"/>
    <w:rsid w:val="00B129B3"/>
    <w:rsid w:val="00B12BFC"/>
    <w:rsid w:val="00B13262"/>
    <w:rsid w:val="00B1340D"/>
    <w:rsid w:val="00B135A4"/>
    <w:rsid w:val="00B13E3E"/>
    <w:rsid w:val="00B13E77"/>
    <w:rsid w:val="00B14140"/>
    <w:rsid w:val="00B145CD"/>
    <w:rsid w:val="00B14791"/>
    <w:rsid w:val="00B14997"/>
    <w:rsid w:val="00B14A62"/>
    <w:rsid w:val="00B14AC6"/>
    <w:rsid w:val="00B14C20"/>
    <w:rsid w:val="00B14E56"/>
    <w:rsid w:val="00B14F7F"/>
    <w:rsid w:val="00B15155"/>
    <w:rsid w:val="00B16238"/>
    <w:rsid w:val="00B168B5"/>
    <w:rsid w:val="00B173B2"/>
    <w:rsid w:val="00B1782E"/>
    <w:rsid w:val="00B20164"/>
    <w:rsid w:val="00B202C7"/>
    <w:rsid w:val="00B203F3"/>
    <w:rsid w:val="00B20B18"/>
    <w:rsid w:val="00B2101D"/>
    <w:rsid w:val="00B21079"/>
    <w:rsid w:val="00B210D6"/>
    <w:rsid w:val="00B21628"/>
    <w:rsid w:val="00B21654"/>
    <w:rsid w:val="00B2178B"/>
    <w:rsid w:val="00B21CA5"/>
    <w:rsid w:val="00B22721"/>
    <w:rsid w:val="00B22B47"/>
    <w:rsid w:val="00B231E3"/>
    <w:rsid w:val="00B23420"/>
    <w:rsid w:val="00B23939"/>
    <w:rsid w:val="00B23AB3"/>
    <w:rsid w:val="00B23E9D"/>
    <w:rsid w:val="00B23F81"/>
    <w:rsid w:val="00B23F8B"/>
    <w:rsid w:val="00B24204"/>
    <w:rsid w:val="00B244FD"/>
    <w:rsid w:val="00B24D9F"/>
    <w:rsid w:val="00B24EB1"/>
    <w:rsid w:val="00B259B3"/>
    <w:rsid w:val="00B25B73"/>
    <w:rsid w:val="00B25D68"/>
    <w:rsid w:val="00B2680C"/>
    <w:rsid w:val="00B26912"/>
    <w:rsid w:val="00B26930"/>
    <w:rsid w:val="00B276A4"/>
    <w:rsid w:val="00B27724"/>
    <w:rsid w:val="00B27905"/>
    <w:rsid w:val="00B3027F"/>
    <w:rsid w:val="00B306F3"/>
    <w:rsid w:val="00B30BC2"/>
    <w:rsid w:val="00B30C63"/>
    <w:rsid w:val="00B30DF2"/>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7F5"/>
    <w:rsid w:val="00B358DF"/>
    <w:rsid w:val="00B359E2"/>
    <w:rsid w:val="00B35F95"/>
    <w:rsid w:val="00B36B18"/>
    <w:rsid w:val="00B36C69"/>
    <w:rsid w:val="00B36D81"/>
    <w:rsid w:val="00B37073"/>
    <w:rsid w:val="00B3755C"/>
    <w:rsid w:val="00B37837"/>
    <w:rsid w:val="00B37938"/>
    <w:rsid w:val="00B379BC"/>
    <w:rsid w:val="00B37D7D"/>
    <w:rsid w:val="00B37F7E"/>
    <w:rsid w:val="00B40375"/>
    <w:rsid w:val="00B4061F"/>
    <w:rsid w:val="00B412BD"/>
    <w:rsid w:val="00B419E4"/>
    <w:rsid w:val="00B41C6A"/>
    <w:rsid w:val="00B42043"/>
    <w:rsid w:val="00B42FAC"/>
    <w:rsid w:val="00B432A0"/>
    <w:rsid w:val="00B4437F"/>
    <w:rsid w:val="00B44753"/>
    <w:rsid w:val="00B45088"/>
    <w:rsid w:val="00B45473"/>
    <w:rsid w:val="00B457B8"/>
    <w:rsid w:val="00B45AA9"/>
    <w:rsid w:val="00B45F25"/>
    <w:rsid w:val="00B462A7"/>
    <w:rsid w:val="00B47160"/>
    <w:rsid w:val="00B4738B"/>
    <w:rsid w:val="00B476AF"/>
    <w:rsid w:val="00B4772D"/>
    <w:rsid w:val="00B47CC4"/>
    <w:rsid w:val="00B5124B"/>
    <w:rsid w:val="00B517F7"/>
    <w:rsid w:val="00B518E5"/>
    <w:rsid w:val="00B51AE9"/>
    <w:rsid w:val="00B51EBF"/>
    <w:rsid w:val="00B52AFC"/>
    <w:rsid w:val="00B52B41"/>
    <w:rsid w:val="00B52C97"/>
    <w:rsid w:val="00B52EFE"/>
    <w:rsid w:val="00B52F64"/>
    <w:rsid w:val="00B535A3"/>
    <w:rsid w:val="00B549C4"/>
    <w:rsid w:val="00B54E35"/>
    <w:rsid w:val="00B56016"/>
    <w:rsid w:val="00B562D1"/>
    <w:rsid w:val="00B568B8"/>
    <w:rsid w:val="00B56CDC"/>
    <w:rsid w:val="00B56CE5"/>
    <w:rsid w:val="00B56E01"/>
    <w:rsid w:val="00B570B9"/>
    <w:rsid w:val="00B5715D"/>
    <w:rsid w:val="00B57359"/>
    <w:rsid w:val="00B57479"/>
    <w:rsid w:val="00B60331"/>
    <w:rsid w:val="00B607A0"/>
    <w:rsid w:val="00B60A8A"/>
    <w:rsid w:val="00B60DCA"/>
    <w:rsid w:val="00B61824"/>
    <w:rsid w:val="00B61F59"/>
    <w:rsid w:val="00B6212B"/>
    <w:rsid w:val="00B62BAE"/>
    <w:rsid w:val="00B62C84"/>
    <w:rsid w:val="00B6305A"/>
    <w:rsid w:val="00B633A3"/>
    <w:rsid w:val="00B63483"/>
    <w:rsid w:val="00B6369D"/>
    <w:rsid w:val="00B63C73"/>
    <w:rsid w:val="00B642A1"/>
    <w:rsid w:val="00B642C5"/>
    <w:rsid w:val="00B64B30"/>
    <w:rsid w:val="00B660B9"/>
    <w:rsid w:val="00B66329"/>
    <w:rsid w:val="00B66F3E"/>
    <w:rsid w:val="00B66FC2"/>
    <w:rsid w:val="00B672B3"/>
    <w:rsid w:val="00B678CC"/>
    <w:rsid w:val="00B678DB"/>
    <w:rsid w:val="00B678FB"/>
    <w:rsid w:val="00B67C5C"/>
    <w:rsid w:val="00B70404"/>
    <w:rsid w:val="00B70EAE"/>
    <w:rsid w:val="00B712C3"/>
    <w:rsid w:val="00B713FD"/>
    <w:rsid w:val="00B72351"/>
    <w:rsid w:val="00B7243D"/>
    <w:rsid w:val="00B72A25"/>
    <w:rsid w:val="00B72F55"/>
    <w:rsid w:val="00B730E0"/>
    <w:rsid w:val="00B7367C"/>
    <w:rsid w:val="00B73A19"/>
    <w:rsid w:val="00B73A5F"/>
    <w:rsid w:val="00B742D5"/>
    <w:rsid w:val="00B74E98"/>
    <w:rsid w:val="00B75204"/>
    <w:rsid w:val="00B7615E"/>
    <w:rsid w:val="00B7627E"/>
    <w:rsid w:val="00B76B5C"/>
    <w:rsid w:val="00B76CE6"/>
    <w:rsid w:val="00B76DB6"/>
    <w:rsid w:val="00B76EA0"/>
    <w:rsid w:val="00B775B0"/>
    <w:rsid w:val="00B77761"/>
    <w:rsid w:val="00B77807"/>
    <w:rsid w:val="00B77B40"/>
    <w:rsid w:val="00B77D22"/>
    <w:rsid w:val="00B77DBF"/>
    <w:rsid w:val="00B801A6"/>
    <w:rsid w:val="00B80269"/>
    <w:rsid w:val="00B8044D"/>
    <w:rsid w:val="00B80B28"/>
    <w:rsid w:val="00B810DF"/>
    <w:rsid w:val="00B81983"/>
    <w:rsid w:val="00B81FBB"/>
    <w:rsid w:val="00B823AE"/>
    <w:rsid w:val="00B827FD"/>
    <w:rsid w:val="00B82B0E"/>
    <w:rsid w:val="00B837C2"/>
    <w:rsid w:val="00B84851"/>
    <w:rsid w:val="00B84AF2"/>
    <w:rsid w:val="00B84E54"/>
    <w:rsid w:val="00B851A9"/>
    <w:rsid w:val="00B8533F"/>
    <w:rsid w:val="00B85358"/>
    <w:rsid w:val="00B85414"/>
    <w:rsid w:val="00B86384"/>
    <w:rsid w:val="00B863A8"/>
    <w:rsid w:val="00B86816"/>
    <w:rsid w:val="00B8706B"/>
    <w:rsid w:val="00B8772A"/>
    <w:rsid w:val="00B902B9"/>
    <w:rsid w:val="00B9049B"/>
    <w:rsid w:val="00B90708"/>
    <w:rsid w:val="00B90A68"/>
    <w:rsid w:val="00B910E0"/>
    <w:rsid w:val="00B910E8"/>
    <w:rsid w:val="00B91319"/>
    <w:rsid w:val="00B915C4"/>
    <w:rsid w:val="00B91E6E"/>
    <w:rsid w:val="00B92149"/>
    <w:rsid w:val="00B921B0"/>
    <w:rsid w:val="00B925A9"/>
    <w:rsid w:val="00B929CF"/>
    <w:rsid w:val="00B92C59"/>
    <w:rsid w:val="00B92D3D"/>
    <w:rsid w:val="00B93112"/>
    <w:rsid w:val="00B9312E"/>
    <w:rsid w:val="00B931AD"/>
    <w:rsid w:val="00B93ACB"/>
    <w:rsid w:val="00B93BA2"/>
    <w:rsid w:val="00B93D60"/>
    <w:rsid w:val="00B9403B"/>
    <w:rsid w:val="00B943EA"/>
    <w:rsid w:val="00B94431"/>
    <w:rsid w:val="00B950F0"/>
    <w:rsid w:val="00B952A0"/>
    <w:rsid w:val="00B95B21"/>
    <w:rsid w:val="00B95BFE"/>
    <w:rsid w:val="00B961CB"/>
    <w:rsid w:val="00B96487"/>
    <w:rsid w:val="00B96C22"/>
    <w:rsid w:val="00B9727B"/>
    <w:rsid w:val="00B972D3"/>
    <w:rsid w:val="00B97703"/>
    <w:rsid w:val="00B9781E"/>
    <w:rsid w:val="00B978C1"/>
    <w:rsid w:val="00B97C29"/>
    <w:rsid w:val="00B97C42"/>
    <w:rsid w:val="00BA0098"/>
    <w:rsid w:val="00BA0192"/>
    <w:rsid w:val="00BA036D"/>
    <w:rsid w:val="00BA0965"/>
    <w:rsid w:val="00BA0DC4"/>
    <w:rsid w:val="00BA1705"/>
    <w:rsid w:val="00BA2132"/>
    <w:rsid w:val="00BA22D3"/>
    <w:rsid w:val="00BA2524"/>
    <w:rsid w:val="00BA3049"/>
    <w:rsid w:val="00BA3224"/>
    <w:rsid w:val="00BA4295"/>
    <w:rsid w:val="00BA456F"/>
    <w:rsid w:val="00BA477A"/>
    <w:rsid w:val="00BA493D"/>
    <w:rsid w:val="00BA5064"/>
    <w:rsid w:val="00BA5352"/>
    <w:rsid w:val="00BA56C7"/>
    <w:rsid w:val="00BA5708"/>
    <w:rsid w:val="00BA5B58"/>
    <w:rsid w:val="00BA659C"/>
    <w:rsid w:val="00BA728C"/>
    <w:rsid w:val="00BA73D4"/>
    <w:rsid w:val="00BA74F1"/>
    <w:rsid w:val="00BA78DC"/>
    <w:rsid w:val="00BA7A73"/>
    <w:rsid w:val="00BA7C4B"/>
    <w:rsid w:val="00BB0200"/>
    <w:rsid w:val="00BB0275"/>
    <w:rsid w:val="00BB0338"/>
    <w:rsid w:val="00BB0479"/>
    <w:rsid w:val="00BB0AB1"/>
    <w:rsid w:val="00BB0AD4"/>
    <w:rsid w:val="00BB123F"/>
    <w:rsid w:val="00BB1260"/>
    <w:rsid w:val="00BB168A"/>
    <w:rsid w:val="00BB16AE"/>
    <w:rsid w:val="00BB186A"/>
    <w:rsid w:val="00BB19E4"/>
    <w:rsid w:val="00BB230F"/>
    <w:rsid w:val="00BB2496"/>
    <w:rsid w:val="00BB2765"/>
    <w:rsid w:val="00BB27D1"/>
    <w:rsid w:val="00BB3136"/>
    <w:rsid w:val="00BB3497"/>
    <w:rsid w:val="00BB3940"/>
    <w:rsid w:val="00BB3C6A"/>
    <w:rsid w:val="00BB4389"/>
    <w:rsid w:val="00BB4512"/>
    <w:rsid w:val="00BB452D"/>
    <w:rsid w:val="00BB45AE"/>
    <w:rsid w:val="00BB45E8"/>
    <w:rsid w:val="00BB46BA"/>
    <w:rsid w:val="00BB4822"/>
    <w:rsid w:val="00BB4EF4"/>
    <w:rsid w:val="00BB5587"/>
    <w:rsid w:val="00BB55E0"/>
    <w:rsid w:val="00BB5730"/>
    <w:rsid w:val="00BB5A63"/>
    <w:rsid w:val="00BB5F6F"/>
    <w:rsid w:val="00BB611F"/>
    <w:rsid w:val="00BB61BE"/>
    <w:rsid w:val="00BB62F5"/>
    <w:rsid w:val="00BB64A9"/>
    <w:rsid w:val="00BB6B61"/>
    <w:rsid w:val="00BB7178"/>
    <w:rsid w:val="00BB7191"/>
    <w:rsid w:val="00BB71BE"/>
    <w:rsid w:val="00BB76D3"/>
    <w:rsid w:val="00BB7FBE"/>
    <w:rsid w:val="00BC0922"/>
    <w:rsid w:val="00BC0A7B"/>
    <w:rsid w:val="00BC1712"/>
    <w:rsid w:val="00BC19AD"/>
    <w:rsid w:val="00BC1B26"/>
    <w:rsid w:val="00BC1F08"/>
    <w:rsid w:val="00BC22AB"/>
    <w:rsid w:val="00BC278B"/>
    <w:rsid w:val="00BC2797"/>
    <w:rsid w:val="00BC2D11"/>
    <w:rsid w:val="00BC2DF0"/>
    <w:rsid w:val="00BC2F58"/>
    <w:rsid w:val="00BC2FA8"/>
    <w:rsid w:val="00BC36CE"/>
    <w:rsid w:val="00BC4189"/>
    <w:rsid w:val="00BC41DB"/>
    <w:rsid w:val="00BC4227"/>
    <w:rsid w:val="00BC4340"/>
    <w:rsid w:val="00BC4952"/>
    <w:rsid w:val="00BC54CD"/>
    <w:rsid w:val="00BC56F5"/>
    <w:rsid w:val="00BC5F84"/>
    <w:rsid w:val="00BC615D"/>
    <w:rsid w:val="00BC622D"/>
    <w:rsid w:val="00BC6BE0"/>
    <w:rsid w:val="00BC6C2C"/>
    <w:rsid w:val="00BC6CD8"/>
    <w:rsid w:val="00BC6EAE"/>
    <w:rsid w:val="00BC73E9"/>
    <w:rsid w:val="00BC76B1"/>
    <w:rsid w:val="00BD0798"/>
    <w:rsid w:val="00BD103F"/>
    <w:rsid w:val="00BD1243"/>
    <w:rsid w:val="00BD1366"/>
    <w:rsid w:val="00BD1656"/>
    <w:rsid w:val="00BD1827"/>
    <w:rsid w:val="00BD18CC"/>
    <w:rsid w:val="00BD1AC1"/>
    <w:rsid w:val="00BD1D46"/>
    <w:rsid w:val="00BD29F5"/>
    <w:rsid w:val="00BD3242"/>
    <w:rsid w:val="00BD3419"/>
    <w:rsid w:val="00BD39EC"/>
    <w:rsid w:val="00BD42CA"/>
    <w:rsid w:val="00BD43E5"/>
    <w:rsid w:val="00BD4F48"/>
    <w:rsid w:val="00BD512A"/>
    <w:rsid w:val="00BD5479"/>
    <w:rsid w:val="00BD57EF"/>
    <w:rsid w:val="00BD59E3"/>
    <w:rsid w:val="00BD5F00"/>
    <w:rsid w:val="00BD672B"/>
    <w:rsid w:val="00BD7711"/>
    <w:rsid w:val="00BD771F"/>
    <w:rsid w:val="00BD7C76"/>
    <w:rsid w:val="00BD7FD7"/>
    <w:rsid w:val="00BE0315"/>
    <w:rsid w:val="00BE05F0"/>
    <w:rsid w:val="00BE08D5"/>
    <w:rsid w:val="00BE091A"/>
    <w:rsid w:val="00BE09C0"/>
    <w:rsid w:val="00BE0D73"/>
    <w:rsid w:val="00BE0F64"/>
    <w:rsid w:val="00BE0FDB"/>
    <w:rsid w:val="00BE137E"/>
    <w:rsid w:val="00BE1415"/>
    <w:rsid w:val="00BE1772"/>
    <w:rsid w:val="00BE1DEB"/>
    <w:rsid w:val="00BE1EBA"/>
    <w:rsid w:val="00BE223E"/>
    <w:rsid w:val="00BE2275"/>
    <w:rsid w:val="00BE288F"/>
    <w:rsid w:val="00BE2903"/>
    <w:rsid w:val="00BE2E8B"/>
    <w:rsid w:val="00BE318A"/>
    <w:rsid w:val="00BE35DA"/>
    <w:rsid w:val="00BE44F2"/>
    <w:rsid w:val="00BE5032"/>
    <w:rsid w:val="00BE5099"/>
    <w:rsid w:val="00BE5913"/>
    <w:rsid w:val="00BE5BA2"/>
    <w:rsid w:val="00BE6490"/>
    <w:rsid w:val="00BE6EAC"/>
    <w:rsid w:val="00BE77E8"/>
    <w:rsid w:val="00BE797E"/>
    <w:rsid w:val="00BF0A46"/>
    <w:rsid w:val="00BF0E8E"/>
    <w:rsid w:val="00BF15B2"/>
    <w:rsid w:val="00BF17C6"/>
    <w:rsid w:val="00BF1A7F"/>
    <w:rsid w:val="00BF1F19"/>
    <w:rsid w:val="00BF2085"/>
    <w:rsid w:val="00BF2E36"/>
    <w:rsid w:val="00BF3E91"/>
    <w:rsid w:val="00BF5324"/>
    <w:rsid w:val="00BF561D"/>
    <w:rsid w:val="00BF5652"/>
    <w:rsid w:val="00BF577F"/>
    <w:rsid w:val="00BF5A3F"/>
    <w:rsid w:val="00BF5B28"/>
    <w:rsid w:val="00BF67B3"/>
    <w:rsid w:val="00BF70EF"/>
    <w:rsid w:val="00BF7266"/>
    <w:rsid w:val="00BF73BD"/>
    <w:rsid w:val="00BF7734"/>
    <w:rsid w:val="00BF7CEC"/>
    <w:rsid w:val="00C00203"/>
    <w:rsid w:val="00C00474"/>
    <w:rsid w:val="00C0072C"/>
    <w:rsid w:val="00C00F37"/>
    <w:rsid w:val="00C020EE"/>
    <w:rsid w:val="00C0247E"/>
    <w:rsid w:val="00C02540"/>
    <w:rsid w:val="00C02A99"/>
    <w:rsid w:val="00C03362"/>
    <w:rsid w:val="00C03B44"/>
    <w:rsid w:val="00C03F48"/>
    <w:rsid w:val="00C03F51"/>
    <w:rsid w:val="00C0422A"/>
    <w:rsid w:val="00C0461B"/>
    <w:rsid w:val="00C05C5B"/>
    <w:rsid w:val="00C05DDE"/>
    <w:rsid w:val="00C0648F"/>
    <w:rsid w:val="00C06812"/>
    <w:rsid w:val="00C07D36"/>
    <w:rsid w:val="00C07DF9"/>
    <w:rsid w:val="00C107BD"/>
    <w:rsid w:val="00C10CC7"/>
    <w:rsid w:val="00C1112B"/>
    <w:rsid w:val="00C111ED"/>
    <w:rsid w:val="00C11744"/>
    <w:rsid w:val="00C11CD0"/>
    <w:rsid w:val="00C11DF8"/>
    <w:rsid w:val="00C11F38"/>
    <w:rsid w:val="00C12D58"/>
    <w:rsid w:val="00C13225"/>
    <w:rsid w:val="00C136A2"/>
    <w:rsid w:val="00C149DC"/>
    <w:rsid w:val="00C14C86"/>
    <w:rsid w:val="00C150EB"/>
    <w:rsid w:val="00C15313"/>
    <w:rsid w:val="00C15A5F"/>
    <w:rsid w:val="00C15E5C"/>
    <w:rsid w:val="00C15F63"/>
    <w:rsid w:val="00C1713A"/>
    <w:rsid w:val="00C17715"/>
    <w:rsid w:val="00C17B48"/>
    <w:rsid w:val="00C17E55"/>
    <w:rsid w:val="00C2010B"/>
    <w:rsid w:val="00C20227"/>
    <w:rsid w:val="00C20326"/>
    <w:rsid w:val="00C2039E"/>
    <w:rsid w:val="00C20514"/>
    <w:rsid w:val="00C2074A"/>
    <w:rsid w:val="00C21800"/>
    <w:rsid w:val="00C21875"/>
    <w:rsid w:val="00C21B5C"/>
    <w:rsid w:val="00C21CFB"/>
    <w:rsid w:val="00C21F45"/>
    <w:rsid w:val="00C2265F"/>
    <w:rsid w:val="00C22916"/>
    <w:rsid w:val="00C229F8"/>
    <w:rsid w:val="00C22DD5"/>
    <w:rsid w:val="00C232DB"/>
    <w:rsid w:val="00C2356F"/>
    <w:rsid w:val="00C2365C"/>
    <w:rsid w:val="00C2369A"/>
    <w:rsid w:val="00C24B5B"/>
    <w:rsid w:val="00C2524C"/>
    <w:rsid w:val="00C25365"/>
    <w:rsid w:val="00C2542E"/>
    <w:rsid w:val="00C2551B"/>
    <w:rsid w:val="00C25B02"/>
    <w:rsid w:val="00C25BA5"/>
    <w:rsid w:val="00C26BF6"/>
    <w:rsid w:val="00C26C10"/>
    <w:rsid w:val="00C270A4"/>
    <w:rsid w:val="00C27214"/>
    <w:rsid w:val="00C27BB6"/>
    <w:rsid w:val="00C30405"/>
    <w:rsid w:val="00C30796"/>
    <w:rsid w:val="00C312AB"/>
    <w:rsid w:val="00C317EA"/>
    <w:rsid w:val="00C3221A"/>
    <w:rsid w:val="00C322F1"/>
    <w:rsid w:val="00C32CFA"/>
    <w:rsid w:val="00C3306A"/>
    <w:rsid w:val="00C33284"/>
    <w:rsid w:val="00C33993"/>
    <w:rsid w:val="00C33A26"/>
    <w:rsid w:val="00C33F76"/>
    <w:rsid w:val="00C34398"/>
    <w:rsid w:val="00C343E5"/>
    <w:rsid w:val="00C351A6"/>
    <w:rsid w:val="00C35A4C"/>
    <w:rsid w:val="00C35E0D"/>
    <w:rsid w:val="00C36924"/>
    <w:rsid w:val="00C36FEF"/>
    <w:rsid w:val="00C37066"/>
    <w:rsid w:val="00C371FA"/>
    <w:rsid w:val="00C377A2"/>
    <w:rsid w:val="00C37EA5"/>
    <w:rsid w:val="00C40547"/>
    <w:rsid w:val="00C40FFC"/>
    <w:rsid w:val="00C41480"/>
    <w:rsid w:val="00C41622"/>
    <w:rsid w:val="00C41D70"/>
    <w:rsid w:val="00C41DEA"/>
    <w:rsid w:val="00C431D6"/>
    <w:rsid w:val="00C434C7"/>
    <w:rsid w:val="00C439B8"/>
    <w:rsid w:val="00C439BE"/>
    <w:rsid w:val="00C44326"/>
    <w:rsid w:val="00C445C2"/>
    <w:rsid w:val="00C446B0"/>
    <w:rsid w:val="00C45B88"/>
    <w:rsid w:val="00C460E7"/>
    <w:rsid w:val="00C461F2"/>
    <w:rsid w:val="00C46492"/>
    <w:rsid w:val="00C46F61"/>
    <w:rsid w:val="00C47123"/>
    <w:rsid w:val="00C47598"/>
    <w:rsid w:val="00C47BB2"/>
    <w:rsid w:val="00C47CC5"/>
    <w:rsid w:val="00C5014C"/>
    <w:rsid w:val="00C50A0D"/>
    <w:rsid w:val="00C50B72"/>
    <w:rsid w:val="00C50DDD"/>
    <w:rsid w:val="00C50F0D"/>
    <w:rsid w:val="00C51A32"/>
    <w:rsid w:val="00C51C28"/>
    <w:rsid w:val="00C528C5"/>
    <w:rsid w:val="00C52977"/>
    <w:rsid w:val="00C52A53"/>
    <w:rsid w:val="00C52DB8"/>
    <w:rsid w:val="00C53456"/>
    <w:rsid w:val="00C5397B"/>
    <w:rsid w:val="00C53E6D"/>
    <w:rsid w:val="00C5404C"/>
    <w:rsid w:val="00C5424D"/>
    <w:rsid w:val="00C54A67"/>
    <w:rsid w:val="00C54CD6"/>
    <w:rsid w:val="00C550B0"/>
    <w:rsid w:val="00C55CCA"/>
    <w:rsid w:val="00C55E36"/>
    <w:rsid w:val="00C55EA7"/>
    <w:rsid w:val="00C56703"/>
    <w:rsid w:val="00C576D0"/>
    <w:rsid w:val="00C602FA"/>
    <w:rsid w:val="00C60425"/>
    <w:rsid w:val="00C60C2D"/>
    <w:rsid w:val="00C614DE"/>
    <w:rsid w:val="00C6162E"/>
    <w:rsid w:val="00C618A4"/>
    <w:rsid w:val="00C61AD6"/>
    <w:rsid w:val="00C61E0E"/>
    <w:rsid w:val="00C6235B"/>
    <w:rsid w:val="00C62E53"/>
    <w:rsid w:val="00C62E87"/>
    <w:rsid w:val="00C62FB0"/>
    <w:rsid w:val="00C63075"/>
    <w:rsid w:val="00C63BD0"/>
    <w:rsid w:val="00C63E23"/>
    <w:rsid w:val="00C64E1F"/>
    <w:rsid w:val="00C64FE9"/>
    <w:rsid w:val="00C65399"/>
    <w:rsid w:val="00C65917"/>
    <w:rsid w:val="00C661AD"/>
    <w:rsid w:val="00C671D2"/>
    <w:rsid w:val="00C6723B"/>
    <w:rsid w:val="00C67F26"/>
    <w:rsid w:val="00C70043"/>
    <w:rsid w:val="00C71330"/>
    <w:rsid w:val="00C713F2"/>
    <w:rsid w:val="00C713F6"/>
    <w:rsid w:val="00C71571"/>
    <w:rsid w:val="00C71B29"/>
    <w:rsid w:val="00C71B5B"/>
    <w:rsid w:val="00C71EE7"/>
    <w:rsid w:val="00C7208D"/>
    <w:rsid w:val="00C7216B"/>
    <w:rsid w:val="00C721DE"/>
    <w:rsid w:val="00C72ABC"/>
    <w:rsid w:val="00C72B5A"/>
    <w:rsid w:val="00C73861"/>
    <w:rsid w:val="00C7432C"/>
    <w:rsid w:val="00C74799"/>
    <w:rsid w:val="00C75173"/>
    <w:rsid w:val="00C754E8"/>
    <w:rsid w:val="00C75554"/>
    <w:rsid w:val="00C75791"/>
    <w:rsid w:val="00C75B78"/>
    <w:rsid w:val="00C75F30"/>
    <w:rsid w:val="00C76304"/>
    <w:rsid w:val="00C76427"/>
    <w:rsid w:val="00C769B0"/>
    <w:rsid w:val="00C77460"/>
    <w:rsid w:val="00C7762E"/>
    <w:rsid w:val="00C77A8E"/>
    <w:rsid w:val="00C77AEC"/>
    <w:rsid w:val="00C77F90"/>
    <w:rsid w:val="00C80554"/>
    <w:rsid w:val="00C807A2"/>
    <w:rsid w:val="00C808AC"/>
    <w:rsid w:val="00C8197A"/>
    <w:rsid w:val="00C826E0"/>
    <w:rsid w:val="00C8332E"/>
    <w:rsid w:val="00C8393A"/>
    <w:rsid w:val="00C84084"/>
    <w:rsid w:val="00C8462C"/>
    <w:rsid w:val="00C8471E"/>
    <w:rsid w:val="00C84955"/>
    <w:rsid w:val="00C84A39"/>
    <w:rsid w:val="00C8562A"/>
    <w:rsid w:val="00C85FED"/>
    <w:rsid w:val="00C8638E"/>
    <w:rsid w:val="00C86467"/>
    <w:rsid w:val="00C86473"/>
    <w:rsid w:val="00C86840"/>
    <w:rsid w:val="00C87199"/>
    <w:rsid w:val="00C877F6"/>
    <w:rsid w:val="00C900CB"/>
    <w:rsid w:val="00C902C4"/>
    <w:rsid w:val="00C90A32"/>
    <w:rsid w:val="00C912FD"/>
    <w:rsid w:val="00C91A3F"/>
    <w:rsid w:val="00C92316"/>
    <w:rsid w:val="00C92547"/>
    <w:rsid w:val="00C926FD"/>
    <w:rsid w:val="00C92A27"/>
    <w:rsid w:val="00C92ED9"/>
    <w:rsid w:val="00C93469"/>
    <w:rsid w:val="00C939DA"/>
    <w:rsid w:val="00C941A8"/>
    <w:rsid w:val="00C94ECF"/>
    <w:rsid w:val="00C94FD6"/>
    <w:rsid w:val="00C95364"/>
    <w:rsid w:val="00C95501"/>
    <w:rsid w:val="00C959B6"/>
    <w:rsid w:val="00C95C72"/>
    <w:rsid w:val="00C95FE9"/>
    <w:rsid w:val="00C962B5"/>
    <w:rsid w:val="00C967A0"/>
    <w:rsid w:val="00C96920"/>
    <w:rsid w:val="00C96B86"/>
    <w:rsid w:val="00C971F9"/>
    <w:rsid w:val="00C97254"/>
    <w:rsid w:val="00C977D8"/>
    <w:rsid w:val="00C97CB8"/>
    <w:rsid w:val="00C97DF7"/>
    <w:rsid w:val="00CA0AEE"/>
    <w:rsid w:val="00CA14C9"/>
    <w:rsid w:val="00CA1A6A"/>
    <w:rsid w:val="00CA20A3"/>
    <w:rsid w:val="00CA236E"/>
    <w:rsid w:val="00CA24FB"/>
    <w:rsid w:val="00CA27D6"/>
    <w:rsid w:val="00CA29BE"/>
    <w:rsid w:val="00CA2C06"/>
    <w:rsid w:val="00CA2D5B"/>
    <w:rsid w:val="00CA3653"/>
    <w:rsid w:val="00CA3B64"/>
    <w:rsid w:val="00CA562D"/>
    <w:rsid w:val="00CA5805"/>
    <w:rsid w:val="00CA6108"/>
    <w:rsid w:val="00CA64D5"/>
    <w:rsid w:val="00CA66DA"/>
    <w:rsid w:val="00CA7A20"/>
    <w:rsid w:val="00CB02D7"/>
    <w:rsid w:val="00CB02DD"/>
    <w:rsid w:val="00CB0A0F"/>
    <w:rsid w:val="00CB1877"/>
    <w:rsid w:val="00CB1AAC"/>
    <w:rsid w:val="00CB21E2"/>
    <w:rsid w:val="00CB289E"/>
    <w:rsid w:val="00CB2DCA"/>
    <w:rsid w:val="00CB2EBB"/>
    <w:rsid w:val="00CB3192"/>
    <w:rsid w:val="00CB3201"/>
    <w:rsid w:val="00CB3415"/>
    <w:rsid w:val="00CB3785"/>
    <w:rsid w:val="00CB3A41"/>
    <w:rsid w:val="00CB3DD7"/>
    <w:rsid w:val="00CB4329"/>
    <w:rsid w:val="00CB4E57"/>
    <w:rsid w:val="00CB5BB6"/>
    <w:rsid w:val="00CB6290"/>
    <w:rsid w:val="00CB6785"/>
    <w:rsid w:val="00CB6E40"/>
    <w:rsid w:val="00CB6EAE"/>
    <w:rsid w:val="00CB7127"/>
    <w:rsid w:val="00CB742A"/>
    <w:rsid w:val="00CB766B"/>
    <w:rsid w:val="00CB7C04"/>
    <w:rsid w:val="00CB7E10"/>
    <w:rsid w:val="00CC060D"/>
    <w:rsid w:val="00CC0DEB"/>
    <w:rsid w:val="00CC1720"/>
    <w:rsid w:val="00CC18F0"/>
    <w:rsid w:val="00CC191C"/>
    <w:rsid w:val="00CC1C29"/>
    <w:rsid w:val="00CC1F0F"/>
    <w:rsid w:val="00CC22ED"/>
    <w:rsid w:val="00CC2631"/>
    <w:rsid w:val="00CC2759"/>
    <w:rsid w:val="00CC2C08"/>
    <w:rsid w:val="00CC2F44"/>
    <w:rsid w:val="00CC356D"/>
    <w:rsid w:val="00CC3FEB"/>
    <w:rsid w:val="00CC469A"/>
    <w:rsid w:val="00CC52D2"/>
    <w:rsid w:val="00CC5719"/>
    <w:rsid w:val="00CC5A8A"/>
    <w:rsid w:val="00CC5E50"/>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6AD4"/>
    <w:rsid w:val="00CD6E14"/>
    <w:rsid w:val="00CD6EA8"/>
    <w:rsid w:val="00CD7083"/>
    <w:rsid w:val="00CD79E5"/>
    <w:rsid w:val="00CD7B5A"/>
    <w:rsid w:val="00CE09D6"/>
    <w:rsid w:val="00CE0C33"/>
    <w:rsid w:val="00CE158F"/>
    <w:rsid w:val="00CE1872"/>
    <w:rsid w:val="00CE1983"/>
    <w:rsid w:val="00CE20E6"/>
    <w:rsid w:val="00CE2661"/>
    <w:rsid w:val="00CE2909"/>
    <w:rsid w:val="00CE2C27"/>
    <w:rsid w:val="00CE2C36"/>
    <w:rsid w:val="00CE30CC"/>
    <w:rsid w:val="00CE350A"/>
    <w:rsid w:val="00CE3C48"/>
    <w:rsid w:val="00CE3CA6"/>
    <w:rsid w:val="00CE3E59"/>
    <w:rsid w:val="00CE417B"/>
    <w:rsid w:val="00CE5352"/>
    <w:rsid w:val="00CE53E5"/>
    <w:rsid w:val="00CE54BD"/>
    <w:rsid w:val="00CE5813"/>
    <w:rsid w:val="00CE5A1B"/>
    <w:rsid w:val="00CE5CF2"/>
    <w:rsid w:val="00CE5D94"/>
    <w:rsid w:val="00CE6713"/>
    <w:rsid w:val="00CE71E9"/>
    <w:rsid w:val="00CE7B1F"/>
    <w:rsid w:val="00CE7B34"/>
    <w:rsid w:val="00CE7F9D"/>
    <w:rsid w:val="00CF01CF"/>
    <w:rsid w:val="00CF0DEC"/>
    <w:rsid w:val="00CF10C0"/>
    <w:rsid w:val="00CF126F"/>
    <w:rsid w:val="00CF2572"/>
    <w:rsid w:val="00CF25A1"/>
    <w:rsid w:val="00CF2BA1"/>
    <w:rsid w:val="00CF2EA9"/>
    <w:rsid w:val="00CF2FFE"/>
    <w:rsid w:val="00CF30B2"/>
    <w:rsid w:val="00CF3124"/>
    <w:rsid w:val="00CF3ECF"/>
    <w:rsid w:val="00CF3FC8"/>
    <w:rsid w:val="00CF40BE"/>
    <w:rsid w:val="00CF461F"/>
    <w:rsid w:val="00CF467E"/>
    <w:rsid w:val="00CF476A"/>
    <w:rsid w:val="00CF4B9C"/>
    <w:rsid w:val="00CF509A"/>
    <w:rsid w:val="00CF5483"/>
    <w:rsid w:val="00CF54F1"/>
    <w:rsid w:val="00CF5996"/>
    <w:rsid w:val="00CF5A2C"/>
    <w:rsid w:val="00CF60FA"/>
    <w:rsid w:val="00CF643D"/>
    <w:rsid w:val="00CF69C0"/>
    <w:rsid w:val="00CF6B77"/>
    <w:rsid w:val="00CF71E3"/>
    <w:rsid w:val="00CF7724"/>
    <w:rsid w:val="00CF7FDD"/>
    <w:rsid w:val="00D000EB"/>
    <w:rsid w:val="00D002A5"/>
    <w:rsid w:val="00D00862"/>
    <w:rsid w:val="00D00A5D"/>
    <w:rsid w:val="00D00A87"/>
    <w:rsid w:val="00D01045"/>
    <w:rsid w:val="00D01354"/>
    <w:rsid w:val="00D01910"/>
    <w:rsid w:val="00D01ED2"/>
    <w:rsid w:val="00D02C39"/>
    <w:rsid w:val="00D02F2F"/>
    <w:rsid w:val="00D03237"/>
    <w:rsid w:val="00D03329"/>
    <w:rsid w:val="00D034E6"/>
    <w:rsid w:val="00D0364C"/>
    <w:rsid w:val="00D03CB9"/>
    <w:rsid w:val="00D04533"/>
    <w:rsid w:val="00D04573"/>
    <w:rsid w:val="00D045C4"/>
    <w:rsid w:val="00D04940"/>
    <w:rsid w:val="00D04CA3"/>
    <w:rsid w:val="00D050A8"/>
    <w:rsid w:val="00D0517C"/>
    <w:rsid w:val="00D05411"/>
    <w:rsid w:val="00D054F2"/>
    <w:rsid w:val="00D055D2"/>
    <w:rsid w:val="00D055F6"/>
    <w:rsid w:val="00D057CF"/>
    <w:rsid w:val="00D05E5A"/>
    <w:rsid w:val="00D062DB"/>
    <w:rsid w:val="00D06476"/>
    <w:rsid w:val="00D06535"/>
    <w:rsid w:val="00D065C2"/>
    <w:rsid w:val="00D06995"/>
    <w:rsid w:val="00D06F7A"/>
    <w:rsid w:val="00D070BF"/>
    <w:rsid w:val="00D072C0"/>
    <w:rsid w:val="00D0759B"/>
    <w:rsid w:val="00D07B0D"/>
    <w:rsid w:val="00D10E20"/>
    <w:rsid w:val="00D1160E"/>
    <w:rsid w:val="00D1193E"/>
    <w:rsid w:val="00D11960"/>
    <w:rsid w:val="00D11BEC"/>
    <w:rsid w:val="00D124DA"/>
    <w:rsid w:val="00D126B3"/>
    <w:rsid w:val="00D12785"/>
    <w:rsid w:val="00D12C10"/>
    <w:rsid w:val="00D1305C"/>
    <w:rsid w:val="00D13087"/>
    <w:rsid w:val="00D13856"/>
    <w:rsid w:val="00D13A97"/>
    <w:rsid w:val="00D14083"/>
    <w:rsid w:val="00D14643"/>
    <w:rsid w:val="00D1554F"/>
    <w:rsid w:val="00D16FA0"/>
    <w:rsid w:val="00D17378"/>
    <w:rsid w:val="00D17F09"/>
    <w:rsid w:val="00D2017F"/>
    <w:rsid w:val="00D206F5"/>
    <w:rsid w:val="00D20C6A"/>
    <w:rsid w:val="00D20D14"/>
    <w:rsid w:val="00D20EC8"/>
    <w:rsid w:val="00D2117F"/>
    <w:rsid w:val="00D21449"/>
    <w:rsid w:val="00D216B2"/>
    <w:rsid w:val="00D21BD6"/>
    <w:rsid w:val="00D222F1"/>
    <w:rsid w:val="00D22940"/>
    <w:rsid w:val="00D2348B"/>
    <w:rsid w:val="00D23974"/>
    <w:rsid w:val="00D24E2E"/>
    <w:rsid w:val="00D2519A"/>
    <w:rsid w:val="00D25462"/>
    <w:rsid w:val="00D254DF"/>
    <w:rsid w:val="00D25507"/>
    <w:rsid w:val="00D2632E"/>
    <w:rsid w:val="00D26479"/>
    <w:rsid w:val="00D26DCE"/>
    <w:rsid w:val="00D26FED"/>
    <w:rsid w:val="00D27035"/>
    <w:rsid w:val="00D270D7"/>
    <w:rsid w:val="00D272B5"/>
    <w:rsid w:val="00D277D0"/>
    <w:rsid w:val="00D27859"/>
    <w:rsid w:val="00D27A0C"/>
    <w:rsid w:val="00D27CE3"/>
    <w:rsid w:val="00D27D7D"/>
    <w:rsid w:val="00D27DF5"/>
    <w:rsid w:val="00D300A8"/>
    <w:rsid w:val="00D306D5"/>
    <w:rsid w:val="00D30A43"/>
    <w:rsid w:val="00D311E0"/>
    <w:rsid w:val="00D3163F"/>
    <w:rsid w:val="00D319AD"/>
    <w:rsid w:val="00D31F50"/>
    <w:rsid w:val="00D324BF"/>
    <w:rsid w:val="00D3275F"/>
    <w:rsid w:val="00D32D5F"/>
    <w:rsid w:val="00D32F5E"/>
    <w:rsid w:val="00D3316C"/>
    <w:rsid w:val="00D3368E"/>
    <w:rsid w:val="00D33B88"/>
    <w:rsid w:val="00D340A1"/>
    <w:rsid w:val="00D34138"/>
    <w:rsid w:val="00D341F3"/>
    <w:rsid w:val="00D34548"/>
    <w:rsid w:val="00D345E0"/>
    <w:rsid w:val="00D34914"/>
    <w:rsid w:val="00D36606"/>
    <w:rsid w:val="00D36816"/>
    <w:rsid w:val="00D36CD7"/>
    <w:rsid w:val="00D36ED9"/>
    <w:rsid w:val="00D37669"/>
    <w:rsid w:val="00D37A37"/>
    <w:rsid w:val="00D404FA"/>
    <w:rsid w:val="00D4101D"/>
    <w:rsid w:val="00D4128C"/>
    <w:rsid w:val="00D416D1"/>
    <w:rsid w:val="00D42AB3"/>
    <w:rsid w:val="00D42AFB"/>
    <w:rsid w:val="00D43511"/>
    <w:rsid w:val="00D43756"/>
    <w:rsid w:val="00D43936"/>
    <w:rsid w:val="00D4404B"/>
    <w:rsid w:val="00D4411B"/>
    <w:rsid w:val="00D44ABA"/>
    <w:rsid w:val="00D44EC6"/>
    <w:rsid w:val="00D45567"/>
    <w:rsid w:val="00D4586C"/>
    <w:rsid w:val="00D45A10"/>
    <w:rsid w:val="00D45B3C"/>
    <w:rsid w:val="00D45BF6"/>
    <w:rsid w:val="00D45EB6"/>
    <w:rsid w:val="00D460AA"/>
    <w:rsid w:val="00D4638E"/>
    <w:rsid w:val="00D46D18"/>
    <w:rsid w:val="00D4724C"/>
    <w:rsid w:val="00D47E56"/>
    <w:rsid w:val="00D50161"/>
    <w:rsid w:val="00D501D3"/>
    <w:rsid w:val="00D50378"/>
    <w:rsid w:val="00D503D5"/>
    <w:rsid w:val="00D507DF"/>
    <w:rsid w:val="00D5130A"/>
    <w:rsid w:val="00D51533"/>
    <w:rsid w:val="00D51684"/>
    <w:rsid w:val="00D51769"/>
    <w:rsid w:val="00D51F85"/>
    <w:rsid w:val="00D522D8"/>
    <w:rsid w:val="00D529B3"/>
    <w:rsid w:val="00D53573"/>
    <w:rsid w:val="00D53960"/>
    <w:rsid w:val="00D53A98"/>
    <w:rsid w:val="00D53F6E"/>
    <w:rsid w:val="00D54055"/>
    <w:rsid w:val="00D54174"/>
    <w:rsid w:val="00D5465D"/>
    <w:rsid w:val="00D548CF"/>
    <w:rsid w:val="00D5491C"/>
    <w:rsid w:val="00D54C21"/>
    <w:rsid w:val="00D54CCF"/>
    <w:rsid w:val="00D5537B"/>
    <w:rsid w:val="00D554E8"/>
    <w:rsid w:val="00D55E12"/>
    <w:rsid w:val="00D5657D"/>
    <w:rsid w:val="00D56D01"/>
    <w:rsid w:val="00D5704D"/>
    <w:rsid w:val="00D5748E"/>
    <w:rsid w:val="00D577BB"/>
    <w:rsid w:val="00D60B39"/>
    <w:rsid w:val="00D610C4"/>
    <w:rsid w:val="00D612A9"/>
    <w:rsid w:val="00D61309"/>
    <w:rsid w:val="00D61884"/>
    <w:rsid w:val="00D61ABF"/>
    <w:rsid w:val="00D61CE2"/>
    <w:rsid w:val="00D61E63"/>
    <w:rsid w:val="00D6201F"/>
    <w:rsid w:val="00D63253"/>
    <w:rsid w:val="00D6331A"/>
    <w:rsid w:val="00D636BE"/>
    <w:rsid w:val="00D63A1D"/>
    <w:rsid w:val="00D63C43"/>
    <w:rsid w:val="00D6411E"/>
    <w:rsid w:val="00D64419"/>
    <w:rsid w:val="00D64482"/>
    <w:rsid w:val="00D64588"/>
    <w:rsid w:val="00D64730"/>
    <w:rsid w:val="00D64979"/>
    <w:rsid w:val="00D64A0C"/>
    <w:rsid w:val="00D64F20"/>
    <w:rsid w:val="00D650F1"/>
    <w:rsid w:val="00D65C71"/>
    <w:rsid w:val="00D65DCC"/>
    <w:rsid w:val="00D66935"/>
    <w:rsid w:val="00D66970"/>
    <w:rsid w:val="00D67313"/>
    <w:rsid w:val="00D702CA"/>
    <w:rsid w:val="00D70636"/>
    <w:rsid w:val="00D71230"/>
    <w:rsid w:val="00D71AB8"/>
    <w:rsid w:val="00D735D0"/>
    <w:rsid w:val="00D738D2"/>
    <w:rsid w:val="00D74118"/>
    <w:rsid w:val="00D74519"/>
    <w:rsid w:val="00D74693"/>
    <w:rsid w:val="00D74696"/>
    <w:rsid w:val="00D75015"/>
    <w:rsid w:val="00D75688"/>
    <w:rsid w:val="00D7589B"/>
    <w:rsid w:val="00D760A2"/>
    <w:rsid w:val="00D769A8"/>
    <w:rsid w:val="00D76B7E"/>
    <w:rsid w:val="00D77315"/>
    <w:rsid w:val="00D77465"/>
    <w:rsid w:val="00D77FEF"/>
    <w:rsid w:val="00D80021"/>
    <w:rsid w:val="00D8013F"/>
    <w:rsid w:val="00D807E5"/>
    <w:rsid w:val="00D80803"/>
    <w:rsid w:val="00D81F7F"/>
    <w:rsid w:val="00D825C5"/>
    <w:rsid w:val="00D82A83"/>
    <w:rsid w:val="00D82F1E"/>
    <w:rsid w:val="00D833BE"/>
    <w:rsid w:val="00D84C22"/>
    <w:rsid w:val="00D85286"/>
    <w:rsid w:val="00D8562F"/>
    <w:rsid w:val="00D8578F"/>
    <w:rsid w:val="00D858D9"/>
    <w:rsid w:val="00D85B15"/>
    <w:rsid w:val="00D8724C"/>
    <w:rsid w:val="00D8796D"/>
    <w:rsid w:val="00D87E37"/>
    <w:rsid w:val="00D90280"/>
    <w:rsid w:val="00D904DF"/>
    <w:rsid w:val="00D90A85"/>
    <w:rsid w:val="00D90B55"/>
    <w:rsid w:val="00D915B7"/>
    <w:rsid w:val="00D91C6E"/>
    <w:rsid w:val="00D92289"/>
    <w:rsid w:val="00D92936"/>
    <w:rsid w:val="00D929A3"/>
    <w:rsid w:val="00D92C49"/>
    <w:rsid w:val="00D93004"/>
    <w:rsid w:val="00D930C0"/>
    <w:rsid w:val="00D93711"/>
    <w:rsid w:val="00D938C1"/>
    <w:rsid w:val="00D942C4"/>
    <w:rsid w:val="00D94748"/>
    <w:rsid w:val="00D94901"/>
    <w:rsid w:val="00D94EBE"/>
    <w:rsid w:val="00D95413"/>
    <w:rsid w:val="00D963A9"/>
    <w:rsid w:val="00D96425"/>
    <w:rsid w:val="00D96479"/>
    <w:rsid w:val="00D964FA"/>
    <w:rsid w:val="00D965F4"/>
    <w:rsid w:val="00D96D2A"/>
    <w:rsid w:val="00D96F2A"/>
    <w:rsid w:val="00D9731F"/>
    <w:rsid w:val="00D97571"/>
    <w:rsid w:val="00D97A50"/>
    <w:rsid w:val="00DA05BF"/>
    <w:rsid w:val="00DA0C2C"/>
    <w:rsid w:val="00DA0C92"/>
    <w:rsid w:val="00DA193F"/>
    <w:rsid w:val="00DA1B0B"/>
    <w:rsid w:val="00DA2124"/>
    <w:rsid w:val="00DA23D9"/>
    <w:rsid w:val="00DA2589"/>
    <w:rsid w:val="00DA29C7"/>
    <w:rsid w:val="00DA2AF8"/>
    <w:rsid w:val="00DA2C76"/>
    <w:rsid w:val="00DA2D5B"/>
    <w:rsid w:val="00DA386A"/>
    <w:rsid w:val="00DA466E"/>
    <w:rsid w:val="00DA47A8"/>
    <w:rsid w:val="00DA49E2"/>
    <w:rsid w:val="00DA4BD0"/>
    <w:rsid w:val="00DA524D"/>
    <w:rsid w:val="00DA535F"/>
    <w:rsid w:val="00DA543D"/>
    <w:rsid w:val="00DA5540"/>
    <w:rsid w:val="00DA62F6"/>
    <w:rsid w:val="00DA63D5"/>
    <w:rsid w:val="00DA69E7"/>
    <w:rsid w:val="00DA7D61"/>
    <w:rsid w:val="00DB01CF"/>
    <w:rsid w:val="00DB0BB5"/>
    <w:rsid w:val="00DB0C8B"/>
    <w:rsid w:val="00DB14DD"/>
    <w:rsid w:val="00DB1890"/>
    <w:rsid w:val="00DB1D21"/>
    <w:rsid w:val="00DB1F2C"/>
    <w:rsid w:val="00DB203C"/>
    <w:rsid w:val="00DB23FF"/>
    <w:rsid w:val="00DB2897"/>
    <w:rsid w:val="00DB2B51"/>
    <w:rsid w:val="00DB2E73"/>
    <w:rsid w:val="00DB3002"/>
    <w:rsid w:val="00DB3592"/>
    <w:rsid w:val="00DB3BED"/>
    <w:rsid w:val="00DB4589"/>
    <w:rsid w:val="00DB47E5"/>
    <w:rsid w:val="00DB485B"/>
    <w:rsid w:val="00DB4B47"/>
    <w:rsid w:val="00DB4C93"/>
    <w:rsid w:val="00DB51AA"/>
    <w:rsid w:val="00DB5421"/>
    <w:rsid w:val="00DB54A9"/>
    <w:rsid w:val="00DB5596"/>
    <w:rsid w:val="00DB5F2D"/>
    <w:rsid w:val="00DB64F4"/>
    <w:rsid w:val="00DB785D"/>
    <w:rsid w:val="00DB7C3F"/>
    <w:rsid w:val="00DC0172"/>
    <w:rsid w:val="00DC01C9"/>
    <w:rsid w:val="00DC039D"/>
    <w:rsid w:val="00DC04BF"/>
    <w:rsid w:val="00DC0D6C"/>
    <w:rsid w:val="00DC1496"/>
    <w:rsid w:val="00DC198B"/>
    <w:rsid w:val="00DC1993"/>
    <w:rsid w:val="00DC20CE"/>
    <w:rsid w:val="00DC23C9"/>
    <w:rsid w:val="00DC2894"/>
    <w:rsid w:val="00DC2A2A"/>
    <w:rsid w:val="00DC2AB3"/>
    <w:rsid w:val="00DC3052"/>
    <w:rsid w:val="00DC35D1"/>
    <w:rsid w:val="00DC392E"/>
    <w:rsid w:val="00DC3F8A"/>
    <w:rsid w:val="00DC4144"/>
    <w:rsid w:val="00DC41DD"/>
    <w:rsid w:val="00DC44D6"/>
    <w:rsid w:val="00DC45A9"/>
    <w:rsid w:val="00DC56CC"/>
    <w:rsid w:val="00DC5B1A"/>
    <w:rsid w:val="00DC6AB8"/>
    <w:rsid w:val="00DC6DB4"/>
    <w:rsid w:val="00DC7000"/>
    <w:rsid w:val="00DC738E"/>
    <w:rsid w:val="00DC744C"/>
    <w:rsid w:val="00DC76FC"/>
    <w:rsid w:val="00DC78C8"/>
    <w:rsid w:val="00DC795E"/>
    <w:rsid w:val="00DC7FF7"/>
    <w:rsid w:val="00DD0482"/>
    <w:rsid w:val="00DD0533"/>
    <w:rsid w:val="00DD1537"/>
    <w:rsid w:val="00DD2491"/>
    <w:rsid w:val="00DD2A23"/>
    <w:rsid w:val="00DD2B09"/>
    <w:rsid w:val="00DD2B6D"/>
    <w:rsid w:val="00DD32B5"/>
    <w:rsid w:val="00DD32CC"/>
    <w:rsid w:val="00DD369A"/>
    <w:rsid w:val="00DD3A14"/>
    <w:rsid w:val="00DD3A99"/>
    <w:rsid w:val="00DD46E9"/>
    <w:rsid w:val="00DD48E2"/>
    <w:rsid w:val="00DD4EF1"/>
    <w:rsid w:val="00DD52BE"/>
    <w:rsid w:val="00DD59BF"/>
    <w:rsid w:val="00DD5F8A"/>
    <w:rsid w:val="00DD6AB9"/>
    <w:rsid w:val="00DD740A"/>
    <w:rsid w:val="00DD77DD"/>
    <w:rsid w:val="00DD78A3"/>
    <w:rsid w:val="00DD7F26"/>
    <w:rsid w:val="00DE0175"/>
    <w:rsid w:val="00DE0476"/>
    <w:rsid w:val="00DE0633"/>
    <w:rsid w:val="00DE0D00"/>
    <w:rsid w:val="00DE0D18"/>
    <w:rsid w:val="00DE1208"/>
    <w:rsid w:val="00DE139C"/>
    <w:rsid w:val="00DE16CD"/>
    <w:rsid w:val="00DE220D"/>
    <w:rsid w:val="00DE2803"/>
    <w:rsid w:val="00DE2F35"/>
    <w:rsid w:val="00DE379B"/>
    <w:rsid w:val="00DE3B74"/>
    <w:rsid w:val="00DE3F0E"/>
    <w:rsid w:val="00DE5F8A"/>
    <w:rsid w:val="00DE6492"/>
    <w:rsid w:val="00DE652F"/>
    <w:rsid w:val="00DE65AF"/>
    <w:rsid w:val="00DE757A"/>
    <w:rsid w:val="00DE7693"/>
    <w:rsid w:val="00DE7902"/>
    <w:rsid w:val="00DF02EE"/>
    <w:rsid w:val="00DF0517"/>
    <w:rsid w:val="00DF06C3"/>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A50"/>
    <w:rsid w:val="00DF5F6C"/>
    <w:rsid w:val="00DF621E"/>
    <w:rsid w:val="00DF68C0"/>
    <w:rsid w:val="00DF68F1"/>
    <w:rsid w:val="00DF6FC8"/>
    <w:rsid w:val="00DF73BB"/>
    <w:rsid w:val="00DF7546"/>
    <w:rsid w:val="00DF7650"/>
    <w:rsid w:val="00DF791C"/>
    <w:rsid w:val="00DF7F5A"/>
    <w:rsid w:val="00E00303"/>
    <w:rsid w:val="00E00332"/>
    <w:rsid w:val="00E0073A"/>
    <w:rsid w:val="00E008BA"/>
    <w:rsid w:val="00E00972"/>
    <w:rsid w:val="00E00EBC"/>
    <w:rsid w:val="00E00FFD"/>
    <w:rsid w:val="00E0114A"/>
    <w:rsid w:val="00E018B7"/>
    <w:rsid w:val="00E01B12"/>
    <w:rsid w:val="00E026FD"/>
    <w:rsid w:val="00E02A02"/>
    <w:rsid w:val="00E02AE7"/>
    <w:rsid w:val="00E02CC5"/>
    <w:rsid w:val="00E02F73"/>
    <w:rsid w:val="00E02F7E"/>
    <w:rsid w:val="00E0317B"/>
    <w:rsid w:val="00E037E3"/>
    <w:rsid w:val="00E038F1"/>
    <w:rsid w:val="00E04590"/>
    <w:rsid w:val="00E04B75"/>
    <w:rsid w:val="00E04C02"/>
    <w:rsid w:val="00E04FBA"/>
    <w:rsid w:val="00E053B2"/>
    <w:rsid w:val="00E05903"/>
    <w:rsid w:val="00E0590B"/>
    <w:rsid w:val="00E05F87"/>
    <w:rsid w:val="00E0617A"/>
    <w:rsid w:val="00E0644B"/>
    <w:rsid w:val="00E064D3"/>
    <w:rsid w:val="00E06595"/>
    <w:rsid w:val="00E07815"/>
    <w:rsid w:val="00E0799E"/>
    <w:rsid w:val="00E07B7D"/>
    <w:rsid w:val="00E07CA3"/>
    <w:rsid w:val="00E07DB8"/>
    <w:rsid w:val="00E100C9"/>
    <w:rsid w:val="00E1050F"/>
    <w:rsid w:val="00E11290"/>
    <w:rsid w:val="00E113B7"/>
    <w:rsid w:val="00E114C5"/>
    <w:rsid w:val="00E1161B"/>
    <w:rsid w:val="00E12316"/>
    <w:rsid w:val="00E1277F"/>
    <w:rsid w:val="00E12E2D"/>
    <w:rsid w:val="00E12E73"/>
    <w:rsid w:val="00E13415"/>
    <w:rsid w:val="00E13923"/>
    <w:rsid w:val="00E139D5"/>
    <w:rsid w:val="00E13DA1"/>
    <w:rsid w:val="00E14042"/>
    <w:rsid w:val="00E14899"/>
    <w:rsid w:val="00E14CA5"/>
    <w:rsid w:val="00E14EE8"/>
    <w:rsid w:val="00E15202"/>
    <w:rsid w:val="00E152DF"/>
    <w:rsid w:val="00E15367"/>
    <w:rsid w:val="00E15505"/>
    <w:rsid w:val="00E15611"/>
    <w:rsid w:val="00E162B5"/>
    <w:rsid w:val="00E166FA"/>
    <w:rsid w:val="00E16A67"/>
    <w:rsid w:val="00E17141"/>
    <w:rsid w:val="00E173BD"/>
    <w:rsid w:val="00E17D3D"/>
    <w:rsid w:val="00E20B5D"/>
    <w:rsid w:val="00E21896"/>
    <w:rsid w:val="00E219A1"/>
    <w:rsid w:val="00E21B6E"/>
    <w:rsid w:val="00E21B7D"/>
    <w:rsid w:val="00E21DD9"/>
    <w:rsid w:val="00E2202A"/>
    <w:rsid w:val="00E2242D"/>
    <w:rsid w:val="00E22948"/>
    <w:rsid w:val="00E22B20"/>
    <w:rsid w:val="00E22D1B"/>
    <w:rsid w:val="00E22E35"/>
    <w:rsid w:val="00E2324A"/>
    <w:rsid w:val="00E235F5"/>
    <w:rsid w:val="00E2371E"/>
    <w:rsid w:val="00E2374A"/>
    <w:rsid w:val="00E23783"/>
    <w:rsid w:val="00E23A53"/>
    <w:rsid w:val="00E2401E"/>
    <w:rsid w:val="00E24EEF"/>
    <w:rsid w:val="00E256E5"/>
    <w:rsid w:val="00E257AC"/>
    <w:rsid w:val="00E26411"/>
    <w:rsid w:val="00E264BC"/>
    <w:rsid w:val="00E26809"/>
    <w:rsid w:val="00E26AC1"/>
    <w:rsid w:val="00E2720A"/>
    <w:rsid w:val="00E27AE8"/>
    <w:rsid w:val="00E27E1E"/>
    <w:rsid w:val="00E3008F"/>
    <w:rsid w:val="00E30136"/>
    <w:rsid w:val="00E307B6"/>
    <w:rsid w:val="00E315FA"/>
    <w:rsid w:val="00E316F5"/>
    <w:rsid w:val="00E31E8E"/>
    <w:rsid w:val="00E322C0"/>
    <w:rsid w:val="00E325F7"/>
    <w:rsid w:val="00E32E9C"/>
    <w:rsid w:val="00E3347B"/>
    <w:rsid w:val="00E336A4"/>
    <w:rsid w:val="00E339F2"/>
    <w:rsid w:val="00E33B17"/>
    <w:rsid w:val="00E33C1D"/>
    <w:rsid w:val="00E34340"/>
    <w:rsid w:val="00E345E8"/>
    <w:rsid w:val="00E34D1E"/>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2F46"/>
    <w:rsid w:val="00E43060"/>
    <w:rsid w:val="00E4363A"/>
    <w:rsid w:val="00E43D44"/>
    <w:rsid w:val="00E440D0"/>
    <w:rsid w:val="00E444B5"/>
    <w:rsid w:val="00E45013"/>
    <w:rsid w:val="00E45AB1"/>
    <w:rsid w:val="00E45B52"/>
    <w:rsid w:val="00E45C81"/>
    <w:rsid w:val="00E46268"/>
    <w:rsid w:val="00E462F2"/>
    <w:rsid w:val="00E46532"/>
    <w:rsid w:val="00E468E6"/>
    <w:rsid w:val="00E46C51"/>
    <w:rsid w:val="00E46CC9"/>
    <w:rsid w:val="00E47AB5"/>
    <w:rsid w:val="00E47BF1"/>
    <w:rsid w:val="00E47C78"/>
    <w:rsid w:val="00E47CA7"/>
    <w:rsid w:val="00E47E51"/>
    <w:rsid w:val="00E47F52"/>
    <w:rsid w:val="00E50255"/>
    <w:rsid w:val="00E5054B"/>
    <w:rsid w:val="00E50772"/>
    <w:rsid w:val="00E50D89"/>
    <w:rsid w:val="00E52516"/>
    <w:rsid w:val="00E528F9"/>
    <w:rsid w:val="00E53522"/>
    <w:rsid w:val="00E545FA"/>
    <w:rsid w:val="00E546E8"/>
    <w:rsid w:val="00E5496E"/>
    <w:rsid w:val="00E55854"/>
    <w:rsid w:val="00E55BA5"/>
    <w:rsid w:val="00E55C15"/>
    <w:rsid w:val="00E55F45"/>
    <w:rsid w:val="00E56707"/>
    <w:rsid w:val="00E56ACD"/>
    <w:rsid w:val="00E57279"/>
    <w:rsid w:val="00E57739"/>
    <w:rsid w:val="00E57D09"/>
    <w:rsid w:val="00E60275"/>
    <w:rsid w:val="00E6045F"/>
    <w:rsid w:val="00E60CA2"/>
    <w:rsid w:val="00E628AD"/>
    <w:rsid w:val="00E62908"/>
    <w:rsid w:val="00E64339"/>
    <w:rsid w:val="00E64DAA"/>
    <w:rsid w:val="00E656C5"/>
    <w:rsid w:val="00E656CB"/>
    <w:rsid w:val="00E661FB"/>
    <w:rsid w:val="00E66B76"/>
    <w:rsid w:val="00E66FB0"/>
    <w:rsid w:val="00E67584"/>
    <w:rsid w:val="00E67669"/>
    <w:rsid w:val="00E67670"/>
    <w:rsid w:val="00E677BD"/>
    <w:rsid w:val="00E67AE7"/>
    <w:rsid w:val="00E7011C"/>
    <w:rsid w:val="00E708BC"/>
    <w:rsid w:val="00E70C34"/>
    <w:rsid w:val="00E70C44"/>
    <w:rsid w:val="00E7119C"/>
    <w:rsid w:val="00E7138D"/>
    <w:rsid w:val="00E7192E"/>
    <w:rsid w:val="00E7273B"/>
    <w:rsid w:val="00E72B6E"/>
    <w:rsid w:val="00E72BD9"/>
    <w:rsid w:val="00E730E0"/>
    <w:rsid w:val="00E7381D"/>
    <w:rsid w:val="00E7388B"/>
    <w:rsid w:val="00E73977"/>
    <w:rsid w:val="00E73E31"/>
    <w:rsid w:val="00E73E6D"/>
    <w:rsid w:val="00E742F4"/>
    <w:rsid w:val="00E74B6D"/>
    <w:rsid w:val="00E74BE2"/>
    <w:rsid w:val="00E74C40"/>
    <w:rsid w:val="00E75960"/>
    <w:rsid w:val="00E75976"/>
    <w:rsid w:val="00E75E5C"/>
    <w:rsid w:val="00E760FF"/>
    <w:rsid w:val="00E76124"/>
    <w:rsid w:val="00E76384"/>
    <w:rsid w:val="00E775E3"/>
    <w:rsid w:val="00E77A45"/>
    <w:rsid w:val="00E8067A"/>
    <w:rsid w:val="00E80693"/>
    <w:rsid w:val="00E80AC8"/>
    <w:rsid w:val="00E812F5"/>
    <w:rsid w:val="00E8154B"/>
    <w:rsid w:val="00E82619"/>
    <w:rsid w:val="00E82773"/>
    <w:rsid w:val="00E82968"/>
    <w:rsid w:val="00E8357D"/>
    <w:rsid w:val="00E8373C"/>
    <w:rsid w:val="00E83967"/>
    <w:rsid w:val="00E839AD"/>
    <w:rsid w:val="00E83FCE"/>
    <w:rsid w:val="00E84570"/>
    <w:rsid w:val="00E846CA"/>
    <w:rsid w:val="00E8487A"/>
    <w:rsid w:val="00E84D79"/>
    <w:rsid w:val="00E856B6"/>
    <w:rsid w:val="00E85726"/>
    <w:rsid w:val="00E85E2B"/>
    <w:rsid w:val="00E86667"/>
    <w:rsid w:val="00E872A7"/>
    <w:rsid w:val="00E875FF"/>
    <w:rsid w:val="00E878CC"/>
    <w:rsid w:val="00E87A7D"/>
    <w:rsid w:val="00E87EAD"/>
    <w:rsid w:val="00E90188"/>
    <w:rsid w:val="00E901AB"/>
    <w:rsid w:val="00E90A20"/>
    <w:rsid w:val="00E90A36"/>
    <w:rsid w:val="00E90AF8"/>
    <w:rsid w:val="00E923FD"/>
    <w:rsid w:val="00E924F7"/>
    <w:rsid w:val="00E9292A"/>
    <w:rsid w:val="00E93090"/>
    <w:rsid w:val="00E94687"/>
    <w:rsid w:val="00E94DB8"/>
    <w:rsid w:val="00E95DD9"/>
    <w:rsid w:val="00E96341"/>
    <w:rsid w:val="00E9647F"/>
    <w:rsid w:val="00E967EA"/>
    <w:rsid w:val="00E96926"/>
    <w:rsid w:val="00E96981"/>
    <w:rsid w:val="00E96CB9"/>
    <w:rsid w:val="00E9721B"/>
    <w:rsid w:val="00E97299"/>
    <w:rsid w:val="00E9742E"/>
    <w:rsid w:val="00E97C21"/>
    <w:rsid w:val="00EA05D9"/>
    <w:rsid w:val="00EA0775"/>
    <w:rsid w:val="00EA1521"/>
    <w:rsid w:val="00EA16C4"/>
    <w:rsid w:val="00EA19E9"/>
    <w:rsid w:val="00EA2418"/>
    <w:rsid w:val="00EA2443"/>
    <w:rsid w:val="00EA24A3"/>
    <w:rsid w:val="00EA2D26"/>
    <w:rsid w:val="00EA3333"/>
    <w:rsid w:val="00EA369D"/>
    <w:rsid w:val="00EA3B6D"/>
    <w:rsid w:val="00EA3EF5"/>
    <w:rsid w:val="00EA411E"/>
    <w:rsid w:val="00EA43F1"/>
    <w:rsid w:val="00EA48AE"/>
    <w:rsid w:val="00EA4C4D"/>
    <w:rsid w:val="00EA539E"/>
    <w:rsid w:val="00EA5ACC"/>
    <w:rsid w:val="00EA641F"/>
    <w:rsid w:val="00EA64F1"/>
    <w:rsid w:val="00EA652D"/>
    <w:rsid w:val="00EA670C"/>
    <w:rsid w:val="00EA6967"/>
    <w:rsid w:val="00EA6A5A"/>
    <w:rsid w:val="00EA714D"/>
    <w:rsid w:val="00EA7344"/>
    <w:rsid w:val="00EA7386"/>
    <w:rsid w:val="00EA7D63"/>
    <w:rsid w:val="00EB01C3"/>
    <w:rsid w:val="00EB0564"/>
    <w:rsid w:val="00EB067A"/>
    <w:rsid w:val="00EB19B3"/>
    <w:rsid w:val="00EB19E0"/>
    <w:rsid w:val="00EB1C21"/>
    <w:rsid w:val="00EB1C9B"/>
    <w:rsid w:val="00EB249C"/>
    <w:rsid w:val="00EB27C1"/>
    <w:rsid w:val="00EB33B0"/>
    <w:rsid w:val="00EB3AD1"/>
    <w:rsid w:val="00EB3B36"/>
    <w:rsid w:val="00EB4114"/>
    <w:rsid w:val="00EB42A7"/>
    <w:rsid w:val="00EB4554"/>
    <w:rsid w:val="00EB4A40"/>
    <w:rsid w:val="00EB5097"/>
    <w:rsid w:val="00EB5649"/>
    <w:rsid w:val="00EB5713"/>
    <w:rsid w:val="00EB5754"/>
    <w:rsid w:val="00EB5A80"/>
    <w:rsid w:val="00EB6151"/>
    <w:rsid w:val="00EB644D"/>
    <w:rsid w:val="00EB675E"/>
    <w:rsid w:val="00EB6BB7"/>
    <w:rsid w:val="00EB780D"/>
    <w:rsid w:val="00EB7D95"/>
    <w:rsid w:val="00EB7FBE"/>
    <w:rsid w:val="00EC07DD"/>
    <w:rsid w:val="00EC093F"/>
    <w:rsid w:val="00EC0D7C"/>
    <w:rsid w:val="00EC1115"/>
    <w:rsid w:val="00EC11A8"/>
    <w:rsid w:val="00EC13B9"/>
    <w:rsid w:val="00EC19D7"/>
    <w:rsid w:val="00EC1A02"/>
    <w:rsid w:val="00EC1B8B"/>
    <w:rsid w:val="00EC2131"/>
    <w:rsid w:val="00EC2591"/>
    <w:rsid w:val="00EC260E"/>
    <w:rsid w:val="00EC2690"/>
    <w:rsid w:val="00EC2BF5"/>
    <w:rsid w:val="00EC2E5A"/>
    <w:rsid w:val="00EC2F2F"/>
    <w:rsid w:val="00EC3652"/>
    <w:rsid w:val="00EC3D03"/>
    <w:rsid w:val="00EC4572"/>
    <w:rsid w:val="00EC4915"/>
    <w:rsid w:val="00EC5199"/>
    <w:rsid w:val="00EC52E5"/>
    <w:rsid w:val="00EC651E"/>
    <w:rsid w:val="00EC6827"/>
    <w:rsid w:val="00EC6D38"/>
    <w:rsid w:val="00EC706E"/>
    <w:rsid w:val="00EC778E"/>
    <w:rsid w:val="00EC7D95"/>
    <w:rsid w:val="00EC7F14"/>
    <w:rsid w:val="00EC7FC4"/>
    <w:rsid w:val="00ED0190"/>
    <w:rsid w:val="00ED031A"/>
    <w:rsid w:val="00ED088B"/>
    <w:rsid w:val="00ED19A2"/>
    <w:rsid w:val="00ED2B2B"/>
    <w:rsid w:val="00ED2C88"/>
    <w:rsid w:val="00ED2EBD"/>
    <w:rsid w:val="00ED3078"/>
    <w:rsid w:val="00ED3187"/>
    <w:rsid w:val="00ED3484"/>
    <w:rsid w:val="00ED35A7"/>
    <w:rsid w:val="00ED3B24"/>
    <w:rsid w:val="00ED3BB6"/>
    <w:rsid w:val="00ED415E"/>
    <w:rsid w:val="00ED43A1"/>
    <w:rsid w:val="00ED450E"/>
    <w:rsid w:val="00ED473B"/>
    <w:rsid w:val="00ED4969"/>
    <w:rsid w:val="00ED56D3"/>
    <w:rsid w:val="00ED5F60"/>
    <w:rsid w:val="00ED605A"/>
    <w:rsid w:val="00ED6506"/>
    <w:rsid w:val="00ED6516"/>
    <w:rsid w:val="00ED6897"/>
    <w:rsid w:val="00ED7015"/>
    <w:rsid w:val="00ED7770"/>
    <w:rsid w:val="00ED78E4"/>
    <w:rsid w:val="00ED7D2A"/>
    <w:rsid w:val="00EE1043"/>
    <w:rsid w:val="00EE1A88"/>
    <w:rsid w:val="00EE1CA1"/>
    <w:rsid w:val="00EE220A"/>
    <w:rsid w:val="00EE2448"/>
    <w:rsid w:val="00EE249B"/>
    <w:rsid w:val="00EE263E"/>
    <w:rsid w:val="00EE2853"/>
    <w:rsid w:val="00EE3012"/>
    <w:rsid w:val="00EE352A"/>
    <w:rsid w:val="00EE3C52"/>
    <w:rsid w:val="00EE4A0C"/>
    <w:rsid w:val="00EE5F9E"/>
    <w:rsid w:val="00EE627B"/>
    <w:rsid w:val="00EE6581"/>
    <w:rsid w:val="00EE7784"/>
    <w:rsid w:val="00EE7A5E"/>
    <w:rsid w:val="00EF0685"/>
    <w:rsid w:val="00EF08D4"/>
    <w:rsid w:val="00EF0DE4"/>
    <w:rsid w:val="00EF16CA"/>
    <w:rsid w:val="00EF1C9B"/>
    <w:rsid w:val="00EF23E6"/>
    <w:rsid w:val="00EF26BD"/>
    <w:rsid w:val="00EF2B66"/>
    <w:rsid w:val="00EF3201"/>
    <w:rsid w:val="00EF39E3"/>
    <w:rsid w:val="00EF4033"/>
    <w:rsid w:val="00EF4A41"/>
    <w:rsid w:val="00EF5D36"/>
    <w:rsid w:val="00EF5F34"/>
    <w:rsid w:val="00EF5FB0"/>
    <w:rsid w:val="00EF66FC"/>
    <w:rsid w:val="00EF6B68"/>
    <w:rsid w:val="00EF72D1"/>
    <w:rsid w:val="00EF7585"/>
    <w:rsid w:val="00EF7936"/>
    <w:rsid w:val="00F00818"/>
    <w:rsid w:val="00F008B6"/>
    <w:rsid w:val="00F00C01"/>
    <w:rsid w:val="00F00D72"/>
    <w:rsid w:val="00F01025"/>
    <w:rsid w:val="00F012AE"/>
    <w:rsid w:val="00F0135B"/>
    <w:rsid w:val="00F014FE"/>
    <w:rsid w:val="00F01FD1"/>
    <w:rsid w:val="00F0247E"/>
    <w:rsid w:val="00F02E73"/>
    <w:rsid w:val="00F03088"/>
    <w:rsid w:val="00F03091"/>
    <w:rsid w:val="00F03789"/>
    <w:rsid w:val="00F03BD6"/>
    <w:rsid w:val="00F05334"/>
    <w:rsid w:val="00F05459"/>
    <w:rsid w:val="00F05514"/>
    <w:rsid w:val="00F063A1"/>
    <w:rsid w:val="00F0662D"/>
    <w:rsid w:val="00F06CF5"/>
    <w:rsid w:val="00F06D39"/>
    <w:rsid w:val="00F07399"/>
    <w:rsid w:val="00F07B66"/>
    <w:rsid w:val="00F07C8A"/>
    <w:rsid w:val="00F10028"/>
    <w:rsid w:val="00F10140"/>
    <w:rsid w:val="00F107E3"/>
    <w:rsid w:val="00F109C7"/>
    <w:rsid w:val="00F11525"/>
    <w:rsid w:val="00F11BAF"/>
    <w:rsid w:val="00F11CE3"/>
    <w:rsid w:val="00F12825"/>
    <w:rsid w:val="00F132DC"/>
    <w:rsid w:val="00F13471"/>
    <w:rsid w:val="00F13644"/>
    <w:rsid w:val="00F13A9A"/>
    <w:rsid w:val="00F13B27"/>
    <w:rsid w:val="00F13FE2"/>
    <w:rsid w:val="00F14868"/>
    <w:rsid w:val="00F14AB5"/>
    <w:rsid w:val="00F14D13"/>
    <w:rsid w:val="00F15AF3"/>
    <w:rsid w:val="00F15C07"/>
    <w:rsid w:val="00F15CE6"/>
    <w:rsid w:val="00F16213"/>
    <w:rsid w:val="00F16559"/>
    <w:rsid w:val="00F16603"/>
    <w:rsid w:val="00F16672"/>
    <w:rsid w:val="00F16E77"/>
    <w:rsid w:val="00F16FDF"/>
    <w:rsid w:val="00F17672"/>
    <w:rsid w:val="00F179D0"/>
    <w:rsid w:val="00F17DA4"/>
    <w:rsid w:val="00F17DCE"/>
    <w:rsid w:val="00F2018F"/>
    <w:rsid w:val="00F21329"/>
    <w:rsid w:val="00F2134D"/>
    <w:rsid w:val="00F21BE9"/>
    <w:rsid w:val="00F22750"/>
    <w:rsid w:val="00F22DFF"/>
    <w:rsid w:val="00F23455"/>
    <w:rsid w:val="00F23A49"/>
    <w:rsid w:val="00F23BE4"/>
    <w:rsid w:val="00F23BED"/>
    <w:rsid w:val="00F23CA1"/>
    <w:rsid w:val="00F2401A"/>
    <w:rsid w:val="00F24698"/>
    <w:rsid w:val="00F24B19"/>
    <w:rsid w:val="00F250EA"/>
    <w:rsid w:val="00F254A9"/>
    <w:rsid w:val="00F257BB"/>
    <w:rsid w:val="00F26211"/>
    <w:rsid w:val="00F2646F"/>
    <w:rsid w:val="00F264A0"/>
    <w:rsid w:val="00F264E5"/>
    <w:rsid w:val="00F2696E"/>
    <w:rsid w:val="00F26E33"/>
    <w:rsid w:val="00F26ECD"/>
    <w:rsid w:val="00F27121"/>
    <w:rsid w:val="00F2730C"/>
    <w:rsid w:val="00F27684"/>
    <w:rsid w:val="00F27E65"/>
    <w:rsid w:val="00F27FBD"/>
    <w:rsid w:val="00F30EE7"/>
    <w:rsid w:val="00F31325"/>
    <w:rsid w:val="00F318BA"/>
    <w:rsid w:val="00F318CC"/>
    <w:rsid w:val="00F31AC1"/>
    <w:rsid w:val="00F31D35"/>
    <w:rsid w:val="00F31DEA"/>
    <w:rsid w:val="00F32C6F"/>
    <w:rsid w:val="00F32E3C"/>
    <w:rsid w:val="00F33825"/>
    <w:rsid w:val="00F338D8"/>
    <w:rsid w:val="00F33B08"/>
    <w:rsid w:val="00F33E87"/>
    <w:rsid w:val="00F34096"/>
    <w:rsid w:val="00F34116"/>
    <w:rsid w:val="00F34129"/>
    <w:rsid w:val="00F34185"/>
    <w:rsid w:val="00F342EE"/>
    <w:rsid w:val="00F349D4"/>
    <w:rsid w:val="00F34C4A"/>
    <w:rsid w:val="00F34E9E"/>
    <w:rsid w:val="00F34FDA"/>
    <w:rsid w:val="00F350D8"/>
    <w:rsid w:val="00F35468"/>
    <w:rsid w:val="00F355D2"/>
    <w:rsid w:val="00F356D2"/>
    <w:rsid w:val="00F35C3B"/>
    <w:rsid w:val="00F365A8"/>
    <w:rsid w:val="00F3697D"/>
    <w:rsid w:val="00F36A95"/>
    <w:rsid w:val="00F36C07"/>
    <w:rsid w:val="00F36F01"/>
    <w:rsid w:val="00F37264"/>
    <w:rsid w:val="00F37349"/>
    <w:rsid w:val="00F404A7"/>
    <w:rsid w:val="00F405C9"/>
    <w:rsid w:val="00F40A19"/>
    <w:rsid w:val="00F40C29"/>
    <w:rsid w:val="00F414CD"/>
    <w:rsid w:val="00F414F8"/>
    <w:rsid w:val="00F4169E"/>
    <w:rsid w:val="00F424DB"/>
    <w:rsid w:val="00F428A0"/>
    <w:rsid w:val="00F42E7D"/>
    <w:rsid w:val="00F431E9"/>
    <w:rsid w:val="00F4325E"/>
    <w:rsid w:val="00F43603"/>
    <w:rsid w:val="00F436A4"/>
    <w:rsid w:val="00F43AA9"/>
    <w:rsid w:val="00F43B68"/>
    <w:rsid w:val="00F43CA2"/>
    <w:rsid w:val="00F44320"/>
    <w:rsid w:val="00F44435"/>
    <w:rsid w:val="00F4459F"/>
    <w:rsid w:val="00F44657"/>
    <w:rsid w:val="00F44FA1"/>
    <w:rsid w:val="00F45418"/>
    <w:rsid w:val="00F45432"/>
    <w:rsid w:val="00F45BCE"/>
    <w:rsid w:val="00F45EF7"/>
    <w:rsid w:val="00F46015"/>
    <w:rsid w:val="00F4645D"/>
    <w:rsid w:val="00F46558"/>
    <w:rsid w:val="00F46639"/>
    <w:rsid w:val="00F46676"/>
    <w:rsid w:val="00F46A11"/>
    <w:rsid w:val="00F47377"/>
    <w:rsid w:val="00F4749C"/>
    <w:rsid w:val="00F47626"/>
    <w:rsid w:val="00F476A9"/>
    <w:rsid w:val="00F47BBE"/>
    <w:rsid w:val="00F47CAB"/>
    <w:rsid w:val="00F50275"/>
    <w:rsid w:val="00F5057E"/>
    <w:rsid w:val="00F505C7"/>
    <w:rsid w:val="00F505F4"/>
    <w:rsid w:val="00F50CEB"/>
    <w:rsid w:val="00F50F85"/>
    <w:rsid w:val="00F51366"/>
    <w:rsid w:val="00F515A1"/>
    <w:rsid w:val="00F51915"/>
    <w:rsid w:val="00F53109"/>
    <w:rsid w:val="00F53117"/>
    <w:rsid w:val="00F534AD"/>
    <w:rsid w:val="00F53C9E"/>
    <w:rsid w:val="00F54053"/>
    <w:rsid w:val="00F540C2"/>
    <w:rsid w:val="00F54824"/>
    <w:rsid w:val="00F54B2F"/>
    <w:rsid w:val="00F54D09"/>
    <w:rsid w:val="00F54D3A"/>
    <w:rsid w:val="00F55486"/>
    <w:rsid w:val="00F55B14"/>
    <w:rsid w:val="00F55D0C"/>
    <w:rsid w:val="00F55D7D"/>
    <w:rsid w:val="00F566F6"/>
    <w:rsid w:val="00F56CE1"/>
    <w:rsid w:val="00F57031"/>
    <w:rsid w:val="00F572EE"/>
    <w:rsid w:val="00F57532"/>
    <w:rsid w:val="00F57B24"/>
    <w:rsid w:val="00F57F12"/>
    <w:rsid w:val="00F6003E"/>
    <w:rsid w:val="00F6038F"/>
    <w:rsid w:val="00F60839"/>
    <w:rsid w:val="00F6115C"/>
    <w:rsid w:val="00F61850"/>
    <w:rsid w:val="00F6186F"/>
    <w:rsid w:val="00F61DD5"/>
    <w:rsid w:val="00F62833"/>
    <w:rsid w:val="00F62AE5"/>
    <w:rsid w:val="00F62B07"/>
    <w:rsid w:val="00F62D01"/>
    <w:rsid w:val="00F62EE5"/>
    <w:rsid w:val="00F6346C"/>
    <w:rsid w:val="00F63BB0"/>
    <w:rsid w:val="00F63DD1"/>
    <w:rsid w:val="00F64153"/>
    <w:rsid w:val="00F646C2"/>
    <w:rsid w:val="00F64C7D"/>
    <w:rsid w:val="00F66746"/>
    <w:rsid w:val="00F669C5"/>
    <w:rsid w:val="00F672FF"/>
    <w:rsid w:val="00F67C1B"/>
    <w:rsid w:val="00F67F40"/>
    <w:rsid w:val="00F70195"/>
    <w:rsid w:val="00F70FC0"/>
    <w:rsid w:val="00F71085"/>
    <w:rsid w:val="00F715E7"/>
    <w:rsid w:val="00F71898"/>
    <w:rsid w:val="00F721E2"/>
    <w:rsid w:val="00F72602"/>
    <w:rsid w:val="00F72DEA"/>
    <w:rsid w:val="00F73CE0"/>
    <w:rsid w:val="00F74582"/>
    <w:rsid w:val="00F74639"/>
    <w:rsid w:val="00F74ABA"/>
    <w:rsid w:val="00F75340"/>
    <w:rsid w:val="00F75710"/>
    <w:rsid w:val="00F75739"/>
    <w:rsid w:val="00F75AC9"/>
    <w:rsid w:val="00F75AEB"/>
    <w:rsid w:val="00F75BCC"/>
    <w:rsid w:val="00F75C20"/>
    <w:rsid w:val="00F75ED1"/>
    <w:rsid w:val="00F76187"/>
    <w:rsid w:val="00F76413"/>
    <w:rsid w:val="00F76504"/>
    <w:rsid w:val="00F766D0"/>
    <w:rsid w:val="00F76F00"/>
    <w:rsid w:val="00F7731B"/>
    <w:rsid w:val="00F77814"/>
    <w:rsid w:val="00F7791B"/>
    <w:rsid w:val="00F80170"/>
    <w:rsid w:val="00F803B0"/>
    <w:rsid w:val="00F80409"/>
    <w:rsid w:val="00F80455"/>
    <w:rsid w:val="00F8065B"/>
    <w:rsid w:val="00F8086E"/>
    <w:rsid w:val="00F80C31"/>
    <w:rsid w:val="00F80C7C"/>
    <w:rsid w:val="00F80E14"/>
    <w:rsid w:val="00F80E25"/>
    <w:rsid w:val="00F81524"/>
    <w:rsid w:val="00F82044"/>
    <w:rsid w:val="00F822FE"/>
    <w:rsid w:val="00F82562"/>
    <w:rsid w:val="00F83142"/>
    <w:rsid w:val="00F83362"/>
    <w:rsid w:val="00F83909"/>
    <w:rsid w:val="00F83C39"/>
    <w:rsid w:val="00F83EDD"/>
    <w:rsid w:val="00F84101"/>
    <w:rsid w:val="00F84634"/>
    <w:rsid w:val="00F84CBF"/>
    <w:rsid w:val="00F8520A"/>
    <w:rsid w:val="00F85383"/>
    <w:rsid w:val="00F8600C"/>
    <w:rsid w:val="00F863C1"/>
    <w:rsid w:val="00F86631"/>
    <w:rsid w:val="00F869B7"/>
    <w:rsid w:val="00F86E68"/>
    <w:rsid w:val="00F86EF5"/>
    <w:rsid w:val="00F8704F"/>
    <w:rsid w:val="00F875C4"/>
    <w:rsid w:val="00F876E5"/>
    <w:rsid w:val="00F879A2"/>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1FE"/>
    <w:rsid w:val="00F9649A"/>
    <w:rsid w:val="00F96B57"/>
    <w:rsid w:val="00F97B57"/>
    <w:rsid w:val="00F97CE1"/>
    <w:rsid w:val="00FA02BC"/>
    <w:rsid w:val="00FA0966"/>
    <w:rsid w:val="00FA0EA9"/>
    <w:rsid w:val="00FA1419"/>
    <w:rsid w:val="00FA1755"/>
    <w:rsid w:val="00FA18F2"/>
    <w:rsid w:val="00FA1ECB"/>
    <w:rsid w:val="00FA208B"/>
    <w:rsid w:val="00FA267A"/>
    <w:rsid w:val="00FA280A"/>
    <w:rsid w:val="00FA3335"/>
    <w:rsid w:val="00FA368A"/>
    <w:rsid w:val="00FA3757"/>
    <w:rsid w:val="00FA3832"/>
    <w:rsid w:val="00FA3EBF"/>
    <w:rsid w:val="00FA4C90"/>
    <w:rsid w:val="00FA4EEC"/>
    <w:rsid w:val="00FA5127"/>
    <w:rsid w:val="00FA65F7"/>
    <w:rsid w:val="00FA6905"/>
    <w:rsid w:val="00FA6EDB"/>
    <w:rsid w:val="00FA7A01"/>
    <w:rsid w:val="00FB03E9"/>
    <w:rsid w:val="00FB04D0"/>
    <w:rsid w:val="00FB08DC"/>
    <w:rsid w:val="00FB0FD3"/>
    <w:rsid w:val="00FB1250"/>
    <w:rsid w:val="00FB1F38"/>
    <w:rsid w:val="00FB231E"/>
    <w:rsid w:val="00FB28CB"/>
    <w:rsid w:val="00FB2F2E"/>
    <w:rsid w:val="00FB2F98"/>
    <w:rsid w:val="00FB37C3"/>
    <w:rsid w:val="00FB4456"/>
    <w:rsid w:val="00FB4D43"/>
    <w:rsid w:val="00FB4EC4"/>
    <w:rsid w:val="00FB4F77"/>
    <w:rsid w:val="00FB51A5"/>
    <w:rsid w:val="00FB5485"/>
    <w:rsid w:val="00FB57A1"/>
    <w:rsid w:val="00FB5A66"/>
    <w:rsid w:val="00FB5D74"/>
    <w:rsid w:val="00FB5F5C"/>
    <w:rsid w:val="00FB6220"/>
    <w:rsid w:val="00FB687E"/>
    <w:rsid w:val="00FB6981"/>
    <w:rsid w:val="00FB6D84"/>
    <w:rsid w:val="00FB6D93"/>
    <w:rsid w:val="00FB7064"/>
    <w:rsid w:val="00FB7076"/>
    <w:rsid w:val="00FB7543"/>
    <w:rsid w:val="00FB75E0"/>
    <w:rsid w:val="00FB75FC"/>
    <w:rsid w:val="00FB7A21"/>
    <w:rsid w:val="00FC0936"/>
    <w:rsid w:val="00FC1093"/>
    <w:rsid w:val="00FC1673"/>
    <w:rsid w:val="00FC21CD"/>
    <w:rsid w:val="00FC25E0"/>
    <w:rsid w:val="00FC283F"/>
    <w:rsid w:val="00FC2A05"/>
    <w:rsid w:val="00FC2D1C"/>
    <w:rsid w:val="00FC3406"/>
    <w:rsid w:val="00FC3598"/>
    <w:rsid w:val="00FC3A01"/>
    <w:rsid w:val="00FC3A0E"/>
    <w:rsid w:val="00FC3B9D"/>
    <w:rsid w:val="00FC3EBC"/>
    <w:rsid w:val="00FC4607"/>
    <w:rsid w:val="00FC476B"/>
    <w:rsid w:val="00FC5D45"/>
    <w:rsid w:val="00FC5E78"/>
    <w:rsid w:val="00FC65A3"/>
    <w:rsid w:val="00FC691C"/>
    <w:rsid w:val="00FC69B4"/>
    <w:rsid w:val="00FC6CBD"/>
    <w:rsid w:val="00FC7092"/>
    <w:rsid w:val="00FC7ADE"/>
    <w:rsid w:val="00FD046D"/>
    <w:rsid w:val="00FD0863"/>
    <w:rsid w:val="00FD0A3A"/>
    <w:rsid w:val="00FD0CF9"/>
    <w:rsid w:val="00FD105B"/>
    <w:rsid w:val="00FD1316"/>
    <w:rsid w:val="00FD14BA"/>
    <w:rsid w:val="00FD16AF"/>
    <w:rsid w:val="00FD184D"/>
    <w:rsid w:val="00FD18F7"/>
    <w:rsid w:val="00FD1F21"/>
    <w:rsid w:val="00FD1F4D"/>
    <w:rsid w:val="00FD2218"/>
    <w:rsid w:val="00FD22A5"/>
    <w:rsid w:val="00FD253F"/>
    <w:rsid w:val="00FD28C6"/>
    <w:rsid w:val="00FD2A3E"/>
    <w:rsid w:val="00FD2EFA"/>
    <w:rsid w:val="00FD3BCE"/>
    <w:rsid w:val="00FD4142"/>
    <w:rsid w:val="00FD461D"/>
    <w:rsid w:val="00FD496E"/>
    <w:rsid w:val="00FD4EA9"/>
    <w:rsid w:val="00FD5091"/>
    <w:rsid w:val="00FD546E"/>
    <w:rsid w:val="00FD5567"/>
    <w:rsid w:val="00FD5869"/>
    <w:rsid w:val="00FD6D94"/>
    <w:rsid w:val="00FD6FFE"/>
    <w:rsid w:val="00FD7077"/>
    <w:rsid w:val="00FD7253"/>
    <w:rsid w:val="00FD7766"/>
    <w:rsid w:val="00FD7DD4"/>
    <w:rsid w:val="00FE040B"/>
    <w:rsid w:val="00FE06C3"/>
    <w:rsid w:val="00FE0F90"/>
    <w:rsid w:val="00FE1050"/>
    <w:rsid w:val="00FE116B"/>
    <w:rsid w:val="00FE153D"/>
    <w:rsid w:val="00FE1DD3"/>
    <w:rsid w:val="00FE2700"/>
    <w:rsid w:val="00FE27F4"/>
    <w:rsid w:val="00FE2BFB"/>
    <w:rsid w:val="00FE3084"/>
    <w:rsid w:val="00FE3184"/>
    <w:rsid w:val="00FE3324"/>
    <w:rsid w:val="00FE374D"/>
    <w:rsid w:val="00FE3887"/>
    <w:rsid w:val="00FE38B8"/>
    <w:rsid w:val="00FE3BFD"/>
    <w:rsid w:val="00FE41B2"/>
    <w:rsid w:val="00FE42BA"/>
    <w:rsid w:val="00FE510D"/>
    <w:rsid w:val="00FE5BBC"/>
    <w:rsid w:val="00FE5DEC"/>
    <w:rsid w:val="00FE64DD"/>
    <w:rsid w:val="00FE6509"/>
    <w:rsid w:val="00FE6638"/>
    <w:rsid w:val="00FE69B0"/>
    <w:rsid w:val="00FE7537"/>
    <w:rsid w:val="00FE77ED"/>
    <w:rsid w:val="00FE7938"/>
    <w:rsid w:val="00FE7D6B"/>
    <w:rsid w:val="00FF04DC"/>
    <w:rsid w:val="00FF064D"/>
    <w:rsid w:val="00FF0E46"/>
    <w:rsid w:val="00FF15A6"/>
    <w:rsid w:val="00FF1B0B"/>
    <w:rsid w:val="00FF1FBA"/>
    <w:rsid w:val="00FF2773"/>
    <w:rsid w:val="00FF2B42"/>
    <w:rsid w:val="00FF322C"/>
    <w:rsid w:val="00FF3AE9"/>
    <w:rsid w:val="00FF3EF8"/>
    <w:rsid w:val="00FF454E"/>
    <w:rsid w:val="00FF4560"/>
    <w:rsid w:val="00FF48EF"/>
    <w:rsid w:val="00FF507F"/>
    <w:rsid w:val="00FF5D4D"/>
    <w:rsid w:val="00FF634E"/>
    <w:rsid w:val="00FF63E0"/>
    <w:rsid w:val="00FF649E"/>
    <w:rsid w:val="00FF6B77"/>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3CC5D"/>
    <w:rsid w:val="165C66F7"/>
    <w:rsid w:val="16649FEF"/>
    <w:rsid w:val="1748E2BE"/>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4CE7772-D0FA-4632-B837-CAE58B7A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4D7EDB"/>
    <w:pPr>
      <w:keepNext/>
      <w:keepLines/>
      <w:spacing w:before="80" w:after="40" w:line="278" w:lineRule="auto"/>
      <w:outlineLvl w:val="4"/>
    </w:pPr>
    <w:rPr>
      <w:rFonts w:asciiTheme="minorHAnsi" w:eastAsiaTheme="majorEastAsia" w:hAnsiTheme="minorHAnsi" w:cstheme="majorBidi"/>
      <w:color w:val="365F91" w:themeColor="accent1" w:themeShade="BF"/>
      <w:kern w:val="2"/>
      <w:lang w:eastAsia="en-US"/>
      <w14:ligatures w14:val="standardContextual"/>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4D7EDB"/>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har"/>
    <w:uiPriority w:val="9"/>
    <w:semiHidden/>
    <w:unhideWhenUsed/>
    <w:qFormat/>
    <w:rsid w:val="004D7EDB"/>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har"/>
    <w:uiPriority w:val="9"/>
    <w:semiHidden/>
    <w:unhideWhenUsed/>
    <w:qFormat/>
    <w:rsid w:val="004D7EDB"/>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DOCs_Paragrafo-1,Tópico1,Lista Paragrafo em Preto,Corpo Texto,Marcadores PDTI,Texto,Bullet List,numbered,FooterText"/>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E189D"/>
    <w:pPr>
      <w:numPr>
        <w:numId w:val="10"/>
      </w:numPr>
      <w:tabs>
        <w:tab w:val="left" w:pos="567"/>
      </w:tabs>
      <w:spacing w:before="120" w:afterLines="120" w:after="288" w:line="312" w:lineRule="auto"/>
      <w:jc w:val="both"/>
    </w:pPr>
    <w:rPr>
      <w:rFonts w:cstheme="majorHAnsi"/>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E189D"/>
    <w:rPr>
      <w:rFonts w:asciiTheme="majorHAnsi" w:eastAsiaTheme="majorEastAsia" w:hAnsiTheme="majorHAnsi" w:cstheme="majorHAnsi"/>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3E189D"/>
    <w:pPr>
      <w:numPr>
        <w:ilvl w:val="1"/>
        <w:numId w:val="10"/>
      </w:numPr>
      <w:spacing w:before="120" w:afterLines="120" w:after="288" w:line="312" w:lineRule="auto"/>
      <w:jc w:val="both"/>
    </w:pPr>
    <w:rPr>
      <w:rFonts w:asciiTheme="majorHAnsi" w:hAnsiTheme="majorHAnsi" w:cstheme="majorHAnsi"/>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E189D"/>
    <w:pPr>
      <w:numPr>
        <w:ilvl w:val="2"/>
        <w:numId w:val="10"/>
      </w:numPr>
      <w:spacing w:before="120" w:after="120" w:line="276" w:lineRule="auto"/>
      <w:jc w:val="both"/>
    </w:pPr>
    <w:rPr>
      <w:rFonts w:asciiTheme="majorHAnsi" w:hAnsiTheme="majorHAnsi" w:cstheme="majorHAnsi"/>
      <w:color w:val="FF0000"/>
      <w:sz w:val="20"/>
      <w:szCs w:val="20"/>
    </w:rPr>
  </w:style>
  <w:style w:type="paragraph" w:customStyle="1" w:styleId="Nivel4">
    <w:name w:val="Nivel 4"/>
    <w:basedOn w:val="Nivel3"/>
    <w:link w:val="Nivel4Char"/>
    <w:qFormat/>
    <w:rsid w:val="003E189D"/>
    <w:pPr>
      <w:numPr>
        <w:ilvl w:val="3"/>
      </w:numPr>
      <w:ind w:left="1985" w:hanging="709"/>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3E189D"/>
    <w:rPr>
      <w:rFonts w:asciiTheme="majorHAnsi" w:hAnsiTheme="majorHAnsi" w:cstheme="majorHAnsi"/>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E189D"/>
    <w:rPr>
      <w:rFonts w:asciiTheme="majorHAnsi" w:hAnsiTheme="majorHAnsi" w:cstheme="majorHAnsi"/>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Normal com bullets Char,DOCs_Paragrafo-1 Char,Tópico1 Char,Lista Paragrafo em Preto Char,Corpo Texto Char,Marcadores PDTI Char,Texto Char,Bullet List Char,numbered Char,FooterText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rPr>
  </w:style>
  <w:style w:type="character" w:customStyle="1" w:styleId="Nvel2-RedChar">
    <w:name w:val="Nível 2 -Red Char"/>
    <w:basedOn w:val="Nivel2Char"/>
    <w:link w:val="Nvel2-Red"/>
    <w:rsid w:val="00F83142"/>
    <w:rPr>
      <w:rFonts w:asciiTheme="majorHAnsi" w:hAnsiTheme="majorHAnsi" w:cstheme="majorHAnsi"/>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3E189D"/>
    <w:rPr>
      <w:rFonts w:asciiTheme="majorHAnsi" w:hAnsiTheme="majorHAnsi" w:cstheme="majorHAnsi"/>
      <w:color w:val="FF0000"/>
      <w:lang w:eastAsia="pt-BR"/>
    </w:rPr>
  </w:style>
  <w:style w:type="character" w:customStyle="1" w:styleId="Nvel3-RChar">
    <w:name w:val="Nível 3-R Char"/>
    <w:basedOn w:val="Nivel3Char"/>
    <w:link w:val="Nvel3-R"/>
    <w:rsid w:val="00D42AFB"/>
    <w:rPr>
      <w:rFonts w:asciiTheme="majorHAnsi" w:hAnsiTheme="majorHAnsi" w:cstheme="majorHAnsi"/>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Theme="majorHAnsi" w:hAnsiTheme="majorHAnsi" w:cstheme="majorHAnsi"/>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8D252D"/>
    <w:rPr>
      <w:color w:val="605E5C"/>
      <w:shd w:val="clear" w:color="auto" w:fill="E1DFDD"/>
    </w:rPr>
  </w:style>
  <w:style w:type="character" w:customStyle="1" w:styleId="cf01">
    <w:name w:val="cf01"/>
    <w:basedOn w:val="Fontepargpadro"/>
    <w:rsid w:val="00FF63E0"/>
    <w:rPr>
      <w:rFonts w:ascii="Segoe UI" w:hAnsi="Segoe UI" w:cs="Segoe UI" w:hint="default"/>
      <w:i/>
      <w:iCs/>
      <w:sz w:val="18"/>
      <w:szCs w:val="18"/>
      <w:shd w:val="clear" w:color="auto" w:fill="00FFFF"/>
    </w:rPr>
  </w:style>
  <w:style w:type="paragraph" w:styleId="Textodenotaderodap">
    <w:name w:val="footnote text"/>
    <w:basedOn w:val="Normal"/>
    <w:link w:val="TextodenotaderodapChar"/>
    <w:unhideWhenUsed/>
    <w:rsid w:val="00871205"/>
    <w:rPr>
      <w:sz w:val="20"/>
      <w:szCs w:val="20"/>
    </w:rPr>
  </w:style>
  <w:style w:type="character" w:customStyle="1" w:styleId="TextodenotaderodapChar">
    <w:name w:val="Texto de nota de rodapé Char"/>
    <w:basedOn w:val="Fontepargpadro"/>
    <w:link w:val="Textodenotaderodap"/>
    <w:rsid w:val="00871205"/>
    <w:rPr>
      <w:rFonts w:ascii="Ecofont_Spranq_eco_Sans" w:hAnsi="Ecofont_Spranq_eco_Sans" w:cs="Tahoma"/>
      <w:lang w:eastAsia="pt-BR"/>
    </w:rPr>
  </w:style>
  <w:style w:type="character" w:styleId="Refdenotaderodap">
    <w:name w:val="footnote reference"/>
    <w:basedOn w:val="Fontepargpadro"/>
    <w:unhideWhenUsed/>
    <w:rsid w:val="00871205"/>
    <w:rPr>
      <w:vertAlign w:val="superscript"/>
    </w:rPr>
  </w:style>
  <w:style w:type="table" w:customStyle="1" w:styleId="Tabelacomgrade1">
    <w:name w:val="Tabela com grade1"/>
    <w:basedOn w:val="Tabelanormal"/>
    <w:next w:val="Tabelacomgrade"/>
    <w:uiPriority w:val="39"/>
    <w:rsid w:val="00F83C39"/>
    <w:pPr>
      <w:jc w:val="both"/>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8">
    <w:name w:val="p8"/>
    <w:basedOn w:val="Normal"/>
    <w:rsid w:val="00751CF2"/>
    <w:pPr>
      <w:widowControl w:val="0"/>
      <w:tabs>
        <w:tab w:val="left" w:pos="2125"/>
      </w:tabs>
      <w:autoSpaceDE w:val="0"/>
      <w:autoSpaceDN w:val="0"/>
      <w:adjustRightInd w:val="0"/>
      <w:spacing w:line="272" w:lineRule="atLeast"/>
      <w:ind w:left="567"/>
      <w:jc w:val="both"/>
    </w:pPr>
    <w:rPr>
      <w:rFonts w:ascii="Times New Roman" w:eastAsia="Times New Roman" w:hAnsi="Times New Roman" w:cs="Times New Roman"/>
      <w:lang w:val="en-US"/>
    </w:rPr>
  </w:style>
  <w:style w:type="paragraph" w:customStyle="1" w:styleId="BodyText21">
    <w:name w:val="Body Text 21"/>
    <w:basedOn w:val="Normal"/>
    <w:rsid w:val="002E7FE4"/>
    <w:pPr>
      <w:jc w:val="both"/>
    </w:pPr>
    <w:rPr>
      <w:rFonts w:ascii="Times New Roman" w:eastAsia="Times New Roman" w:hAnsi="Times New Roman" w:cs="Times New Roman"/>
      <w:snapToGrid w:val="0"/>
      <w:szCs w:val="20"/>
    </w:rPr>
  </w:style>
  <w:style w:type="character" w:customStyle="1" w:styleId="notaexplicativaartefato">
    <w:name w:val="notaexplicativaartefato"/>
    <w:basedOn w:val="Fontepargpadro"/>
    <w:rsid w:val="009C1140"/>
  </w:style>
  <w:style w:type="paragraph" w:customStyle="1" w:styleId="Ou0">
    <w:name w:val="Ou"/>
    <w:link w:val="OuChar0"/>
    <w:qFormat/>
    <w:rsid w:val="00A24050"/>
    <w:pPr>
      <w:spacing w:before="120" w:after="120" w:line="276" w:lineRule="auto"/>
      <w:jc w:val="center"/>
    </w:pPr>
    <w:rPr>
      <w:rFonts w:ascii="Calibri" w:hAnsi="Calibri" w:cs="Arial"/>
      <w:b/>
      <w:bCs/>
      <w:i/>
      <w:iCs/>
      <w:color w:val="FF0000"/>
      <w:u w:val="single"/>
      <w:lang w:eastAsia="pt-BR"/>
    </w:rPr>
  </w:style>
  <w:style w:type="character" w:customStyle="1" w:styleId="OuChar0">
    <w:name w:val="Ou Char"/>
    <w:basedOn w:val="Fontepargpadro"/>
    <w:link w:val="Ou0"/>
    <w:rsid w:val="00A24050"/>
    <w:rPr>
      <w:rFonts w:ascii="Calibri" w:hAnsi="Calibri" w:cs="Arial"/>
      <w:b/>
      <w:bCs/>
      <w:i/>
      <w:iCs/>
      <w:color w:val="FF0000"/>
      <w:u w:val="single"/>
      <w:lang w:eastAsia="pt-BR"/>
    </w:rPr>
  </w:style>
  <w:style w:type="paragraph" w:customStyle="1" w:styleId="SubttuloNoNum">
    <w:name w:val="SubtítuloNãoNum"/>
    <w:basedOn w:val="PargrafodaLista"/>
    <w:link w:val="SubttuloNoNumChar"/>
    <w:qFormat/>
    <w:rsid w:val="00774F1C"/>
    <w:pPr>
      <w:suppressAutoHyphens/>
      <w:autoSpaceDN w:val="0"/>
      <w:spacing w:before="240" w:after="120" w:line="276" w:lineRule="auto"/>
      <w:ind w:left="0"/>
      <w:jc w:val="both"/>
      <w:outlineLvl w:val="1"/>
    </w:pPr>
    <w:rPr>
      <w:rFonts w:ascii="Arial" w:eastAsia="MS Mincho" w:hAnsi="Arial" w:cstheme="minorHAnsi"/>
      <w:bCs/>
      <w:i/>
      <w:iCs/>
      <w:color w:val="FF0000"/>
      <w:sz w:val="20"/>
    </w:rPr>
  </w:style>
  <w:style w:type="character" w:customStyle="1" w:styleId="Nvel3-RChar1">
    <w:name w:val="Nível 3-R Char1"/>
    <w:basedOn w:val="Fontepargpadro"/>
    <w:rsid w:val="00774F1C"/>
    <w:rPr>
      <w:rFonts w:ascii="Arial" w:eastAsiaTheme="minorEastAsia" w:hAnsi="Arial" w:cs="Arial"/>
      <w:i/>
      <w:iCs/>
      <w:color w:val="FF0000"/>
      <w:lang w:eastAsia="pt-BR"/>
    </w:rPr>
  </w:style>
  <w:style w:type="paragraph" w:customStyle="1" w:styleId="SubttuloSemNumPreto">
    <w:name w:val="SubtítuloSemNumPreto"/>
    <w:basedOn w:val="SubttuloNoNum"/>
    <w:link w:val="SubttuloSemNumPretoChar"/>
    <w:qFormat/>
    <w:rsid w:val="00774F1C"/>
  </w:style>
  <w:style w:type="character" w:customStyle="1" w:styleId="SubttuloNoNumChar">
    <w:name w:val="SubtítuloNãoNum Char"/>
    <w:basedOn w:val="Fontepargpadro"/>
    <w:link w:val="SubttuloNoNum"/>
    <w:rsid w:val="00774F1C"/>
    <w:rPr>
      <w:rFonts w:ascii="Arial" w:eastAsia="MS Mincho" w:hAnsi="Arial" w:cstheme="minorHAnsi"/>
      <w:bCs/>
      <w:i/>
      <w:iCs/>
      <w:color w:val="FF0000"/>
      <w:szCs w:val="24"/>
      <w:lang w:eastAsia="pt-BR"/>
    </w:rPr>
  </w:style>
  <w:style w:type="character" w:customStyle="1" w:styleId="SubttuloSemNumPretoChar">
    <w:name w:val="SubtítuloSemNumPreto Char"/>
    <w:basedOn w:val="SubttuloNoNumChar"/>
    <w:link w:val="SubttuloSemNumPreto"/>
    <w:rsid w:val="00774F1C"/>
    <w:rPr>
      <w:rFonts w:ascii="Arial" w:eastAsia="MS Mincho" w:hAnsi="Arial" w:cstheme="minorHAnsi"/>
      <w:bCs/>
      <w:i/>
      <w:iCs/>
      <w:color w:val="FF0000"/>
      <w:szCs w:val="24"/>
      <w:lang w:eastAsia="pt-BR"/>
    </w:rPr>
  </w:style>
  <w:style w:type="character" w:customStyle="1" w:styleId="Nivel3Char1">
    <w:name w:val="Nivel 3 Char1"/>
    <w:basedOn w:val="Fontepargpadro"/>
    <w:rsid w:val="00AC51FF"/>
    <w:rPr>
      <w:rFonts w:ascii="Arial" w:eastAsiaTheme="minorEastAsia" w:hAnsi="Arial" w:cs="Arial"/>
      <w:lang w:eastAsia="pt-BR"/>
    </w:rPr>
  </w:style>
  <w:style w:type="paragraph" w:customStyle="1" w:styleId="TableContents">
    <w:name w:val="Table Contents"/>
    <w:basedOn w:val="Standard"/>
    <w:rsid w:val="00CB3DD7"/>
    <w:pPr>
      <w:widowControl w:val="0"/>
      <w:suppressLineNumbers/>
      <w:textAlignment w:val="baseline"/>
    </w:pPr>
    <w:rPr>
      <w:rFonts w:ascii="Times New Roman" w:eastAsia="SimSun" w:hAnsi="Times New Roman" w:cs="Tahoma"/>
    </w:rPr>
  </w:style>
  <w:style w:type="paragraph" w:customStyle="1" w:styleId="tabelatextocentralizado">
    <w:name w:val="tabela_texto_centralizado"/>
    <w:basedOn w:val="Normal"/>
    <w:uiPriority w:val="99"/>
    <w:semiHidden/>
    <w:rsid w:val="00CB3DD7"/>
    <w:rPr>
      <w:rFonts w:ascii="Calibri" w:eastAsiaTheme="minorHAnsi" w:hAnsi="Calibri" w:cs="Calibri"/>
      <w:sz w:val="22"/>
      <w:szCs w:val="22"/>
    </w:rPr>
  </w:style>
  <w:style w:type="paragraph" w:customStyle="1" w:styleId="contentpasted0">
    <w:name w:val="contentpasted0"/>
    <w:basedOn w:val="Normal"/>
    <w:uiPriority w:val="99"/>
    <w:semiHidden/>
    <w:rsid w:val="00CB3DD7"/>
    <w:rPr>
      <w:rFonts w:ascii="Calibri" w:eastAsiaTheme="minorHAnsi" w:hAnsi="Calibri" w:cs="Calibri"/>
      <w:sz w:val="22"/>
      <w:szCs w:val="22"/>
    </w:rPr>
  </w:style>
  <w:style w:type="character" w:customStyle="1" w:styleId="contentpasted01">
    <w:name w:val="contentpasted01"/>
    <w:basedOn w:val="Fontepargpadro"/>
    <w:rsid w:val="00CB3DD7"/>
  </w:style>
  <w:style w:type="paragraph" w:customStyle="1" w:styleId="texto">
    <w:name w:val="texto"/>
    <w:rsid w:val="006A662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eastAsia="Arial" w:cs="Calibri"/>
      <w:kern w:val="3"/>
      <w:lang w:eastAsia="zh-CN"/>
    </w:rPr>
  </w:style>
  <w:style w:type="paragraph" w:customStyle="1" w:styleId="SubttuloSemNmPreto">
    <w:name w:val="SubtítuloSemNúmPreto"/>
    <w:basedOn w:val="SubttuloNoNum"/>
    <w:link w:val="SubttuloSemNmPretoChar"/>
    <w:qFormat/>
    <w:rsid w:val="008D56A6"/>
  </w:style>
  <w:style w:type="character" w:customStyle="1" w:styleId="SubttuloSemNmPretoChar">
    <w:name w:val="SubtítuloSemNúmPreto Char"/>
    <w:basedOn w:val="SubttuloNoNumChar"/>
    <w:link w:val="SubttuloSemNmPreto"/>
    <w:rsid w:val="008D56A6"/>
    <w:rPr>
      <w:rFonts w:ascii="Arial" w:eastAsia="MS Mincho" w:hAnsi="Arial" w:cstheme="minorHAnsi"/>
      <w:bCs/>
      <w:i/>
      <w:iCs/>
      <w:color w:val="FF0000"/>
      <w:szCs w:val="24"/>
      <w:lang w:eastAsia="pt-BR"/>
    </w:rPr>
  </w:style>
  <w:style w:type="paragraph" w:customStyle="1" w:styleId="pf0">
    <w:name w:val="pf0"/>
    <w:basedOn w:val="Normal"/>
    <w:rsid w:val="005B6E8B"/>
    <w:pPr>
      <w:spacing w:before="100" w:beforeAutospacing="1" w:after="100" w:afterAutospacing="1"/>
    </w:pPr>
    <w:rPr>
      <w:rFonts w:ascii="Times New Roman" w:eastAsia="Times New Roman" w:hAnsi="Times New Roman" w:cs="Times New Roman"/>
    </w:rPr>
  </w:style>
  <w:style w:type="character" w:customStyle="1" w:styleId="cf21">
    <w:name w:val="cf21"/>
    <w:basedOn w:val="Fontepargpadro"/>
    <w:rsid w:val="005B6E8B"/>
    <w:rPr>
      <w:rFonts w:ascii="Segoe UI" w:hAnsi="Segoe UI" w:cs="Segoe UI" w:hint="default"/>
      <w:color w:val="FF0000"/>
      <w:sz w:val="18"/>
      <w:szCs w:val="18"/>
      <w:shd w:val="clear" w:color="auto" w:fill="FFFF00"/>
    </w:rPr>
  </w:style>
  <w:style w:type="paragraph" w:customStyle="1" w:styleId="Nvel1-SemNum0">
    <w:name w:val="Nível 1-SemNum"/>
    <w:basedOn w:val="Nvel1-SemNum"/>
    <w:link w:val="Nvel1-SemNumChar0"/>
    <w:qFormat/>
    <w:rsid w:val="00425FB1"/>
    <w:pPr>
      <w:tabs>
        <w:tab w:val="left" w:pos="-709"/>
      </w:tabs>
      <w:suppressAutoHyphens/>
      <w:autoSpaceDN w:val="0"/>
      <w:spacing w:before="240" w:afterLines="0" w:after="120" w:line="276" w:lineRule="auto"/>
      <w:ind w:left="0"/>
    </w:pPr>
    <w:rPr>
      <w:rFonts w:ascii="Arial" w:eastAsia="MS Gothic" w:hAnsi="Arial" w:cs="Arial"/>
      <w:color w:val="auto"/>
    </w:rPr>
  </w:style>
  <w:style w:type="character" w:customStyle="1" w:styleId="Nvel1-SemNumChar0">
    <w:name w:val="Nível 1-SemNum Char"/>
    <w:basedOn w:val="Fontepargpadro"/>
    <w:link w:val="Nvel1-SemNum0"/>
    <w:rsid w:val="00425FB1"/>
    <w:rPr>
      <w:rFonts w:ascii="Arial" w:eastAsia="MS Gothic" w:hAnsi="Arial" w:cs="Arial"/>
      <w:b/>
      <w:bCs/>
      <w:lang w:eastAsia="pt-BR"/>
    </w:rPr>
  </w:style>
  <w:style w:type="character" w:customStyle="1" w:styleId="TextodecomentrioChar1">
    <w:name w:val="Texto de comentário Char1"/>
    <w:basedOn w:val="Fontepargpadro"/>
    <w:uiPriority w:val="99"/>
    <w:qFormat/>
    <w:rsid w:val="00F355D2"/>
    <w:rPr>
      <w:rFonts w:ascii="Ecofont_Spranq_eco_Sans" w:hAnsi="Ecofont_Spranq_eco_Sans" w:cs="Tahoma"/>
      <w:lang w:eastAsia="pt-BR"/>
    </w:rPr>
  </w:style>
  <w:style w:type="character" w:customStyle="1" w:styleId="RodapChar1">
    <w:name w:val="Rodapé Char1"/>
    <w:basedOn w:val="Fontepargpadro"/>
    <w:uiPriority w:val="99"/>
    <w:qFormat/>
    <w:rsid w:val="00515DB7"/>
    <w:rPr>
      <w:rFonts w:ascii="Ecofont_Spranq_eco_Sans" w:hAnsi="Ecofont_Spranq_eco_Sans" w:cs="Tahoma"/>
      <w:sz w:val="24"/>
      <w:szCs w:val="24"/>
      <w:lang w:eastAsia="pt-BR"/>
    </w:rPr>
  </w:style>
  <w:style w:type="character" w:customStyle="1" w:styleId="NormalWebChar">
    <w:name w:val="Normal (Web) Char"/>
    <w:link w:val="NormalWeb"/>
    <w:uiPriority w:val="99"/>
    <w:locked/>
    <w:rsid w:val="00843F4E"/>
    <w:rPr>
      <w:sz w:val="24"/>
      <w:szCs w:val="24"/>
      <w:lang w:eastAsia="pt-BR"/>
    </w:rPr>
  </w:style>
  <w:style w:type="paragraph" w:customStyle="1" w:styleId="ecxmsonormal">
    <w:name w:val="ecxmsonormal"/>
    <w:basedOn w:val="Normal"/>
    <w:rsid w:val="00DC76FC"/>
    <w:pPr>
      <w:spacing w:after="324"/>
    </w:pPr>
    <w:rPr>
      <w:rFonts w:ascii="Times New Roman" w:eastAsia="Times New Roman" w:hAnsi="Times New Roman" w:cs="Times New Roman"/>
    </w:rPr>
  </w:style>
  <w:style w:type="paragraph" w:customStyle="1" w:styleId="Default">
    <w:name w:val="Default"/>
    <w:rsid w:val="001B7855"/>
    <w:pPr>
      <w:autoSpaceDE w:val="0"/>
      <w:autoSpaceDN w:val="0"/>
      <w:adjustRightInd w:val="0"/>
    </w:pPr>
    <w:rPr>
      <w:rFonts w:ascii="Arial Narrow" w:eastAsia="Times New Roman" w:hAnsi="Arial Narrow" w:cs="Arial Narrow"/>
      <w:color w:val="000000"/>
      <w:sz w:val="24"/>
      <w:szCs w:val="24"/>
      <w:lang w:eastAsia="pt-BR"/>
    </w:rPr>
  </w:style>
  <w:style w:type="paragraph" w:customStyle="1" w:styleId="Estilo8">
    <w:name w:val="Estilo8"/>
    <w:basedOn w:val="Normal"/>
    <w:next w:val="Normal"/>
    <w:rsid w:val="001B7855"/>
    <w:pPr>
      <w:framePr w:wrap="around" w:vAnchor="text" w:hAnchor="text" w:y="1"/>
      <w:numPr>
        <w:numId w:val="9"/>
      </w:numPr>
      <w:ind w:right="113"/>
      <w:jc w:val="both"/>
    </w:pPr>
    <w:rPr>
      <w:rFonts w:ascii="Arial Narrow" w:eastAsiaTheme="minorHAnsi" w:hAnsi="Arial Narrow" w:cstheme="minorBidi"/>
      <w:szCs w:val="22"/>
      <w:lang w:eastAsia="en-US"/>
    </w:rPr>
  </w:style>
  <w:style w:type="table" w:styleId="TabeladeGrade4">
    <w:name w:val="Grid Table 4"/>
    <w:basedOn w:val="Tabelanormal"/>
    <w:uiPriority w:val="49"/>
    <w:rsid w:val="001B7855"/>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umerada">
    <w:name w:val="List Number"/>
    <w:basedOn w:val="Normal"/>
    <w:uiPriority w:val="99"/>
    <w:unhideWhenUsed/>
    <w:rsid w:val="00BB7178"/>
    <w:pPr>
      <w:numPr>
        <w:numId w:val="11"/>
      </w:numPr>
      <w:tabs>
        <w:tab w:val="clear" w:pos="360"/>
      </w:tabs>
      <w:ind w:left="0" w:firstLine="0"/>
      <w:contextualSpacing/>
      <w:jc w:val="both"/>
    </w:pPr>
    <w:rPr>
      <w:rFonts w:asciiTheme="minorHAnsi" w:eastAsiaTheme="minorHAnsi" w:hAnsiTheme="minorHAnsi" w:cstheme="minorBidi"/>
      <w:sz w:val="22"/>
      <w:szCs w:val="22"/>
      <w:lang w:eastAsia="en-US"/>
    </w:rPr>
  </w:style>
  <w:style w:type="numbering" w:customStyle="1" w:styleId="WW8Num80">
    <w:name w:val="WW8Num80"/>
    <w:rsid w:val="00D96425"/>
    <w:pPr>
      <w:numPr>
        <w:numId w:val="12"/>
      </w:numPr>
    </w:pPr>
  </w:style>
  <w:style w:type="paragraph" w:customStyle="1" w:styleId="Nivel2-Opcional">
    <w:name w:val="Nivel 2-Opcional"/>
    <w:basedOn w:val="Normal"/>
    <w:autoRedefine/>
    <w:rsid w:val="00F14868"/>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F14868"/>
    <w:pPr>
      <w:spacing w:before="120" w:after="120" w:line="276" w:lineRule="auto"/>
      <w:ind w:left="792" w:hanging="432"/>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F14868"/>
    <w:rPr>
      <w:rFonts w:ascii="Arial" w:eastAsia="Arial" w:hAnsi="Arial" w:cs="Arial"/>
      <w:i/>
      <w:iCs/>
      <w:color w:val="FF0000"/>
      <w:lang w:eastAsia="pt-BR"/>
    </w:rPr>
  </w:style>
  <w:style w:type="character" w:styleId="Meno">
    <w:name w:val="Mention"/>
    <w:basedOn w:val="Fontepargpadro"/>
    <w:uiPriority w:val="99"/>
    <w:unhideWhenUsed/>
    <w:rsid w:val="00A42D1C"/>
    <w:rPr>
      <w:color w:val="2B579A"/>
      <w:shd w:val="clear" w:color="auto" w:fill="E1DFDD"/>
    </w:rPr>
  </w:style>
  <w:style w:type="character" w:customStyle="1" w:styleId="Ttulo5Char">
    <w:name w:val="Título 5 Char"/>
    <w:basedOn w:val="Fontepargpadro"/>
    <w:link w:val="Ttulo5"/>
    <w:uiPriority w:val="9"/>
    <w:semiHidden/>
    <w:rsid w:val="004D7EDB"/>
    <w:rPr>
      <w:rFonts w:asciiTheme="minorHAnsi" w:eastAsiaTheme="majorEastAsia" w:hAnsiTheme="minorHAnsi" w:cstheme="majorBidi"/>
      <w:color w:val="365F91" w:themeColor="accent1" w:themeShade="BF"/>
      <w:kern w:val="2"/>
      <w:sz w:val="24"/>
      <w:szCs w:val="24"/>
      <w14:ligatures w14:val="standardContextual"/>
    </w:rPr>
  </w:style>
  <w:style w:type="character" w:customStyle="1" w:styleId="Ttulo7Char">
    <w:name w:val="Título 7 Char"/>
    <w:basedOn w:val="Fontepargpadro"/>
    <w:link w:val="Ttulo7"/>
    <w:uiPriority w:val="9"/>
    <w:semiHidden/>
    <w:rsid w:val="004D7EDB"/>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4D7EDB"/>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4D7EDB"/>
    <w:rPr>
      <w:rFonts w:asciiTheme="minorHAnsi" w:eastAsiaTheme="majorEastAsia" w:hAnsiTheme="minorHAnsi" w:cstheme="majorBidi"/>
      <w:color w:val="272727" w:themeColor="text1" w:themeTint="D8"/>
      <w:kern w:val="2"/>
      <w:sz w:val="24"/>
      <w:szCs w:val="24"/>
      <w14:ligatures w14:val="standardContextual"/>
    </w:rPr>
  </w:style>
  <w:style w:type="paragraph" w:styleId="Subttulo">
    <w:name w:val="Subtitle"/>
    <w:basedOn w:val="Normal"/>
    <w:next w:val="Normal"/>
    <w:link w:val="SubttuloChar"/>
    <w:uiPriority w:val="11"/>
    <w:qFormat/>
    <w:rsid w:val="004D7ED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4D7EDB"/>
    <w:rPr>
      <w:rFonts w:asciiTheme="minorHAnsi" w:eastAsiaTheme="majorEastAsia" w:hAnsiTheme="minorHAnsi"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4D7EDB"/>
    <w:rPr>
      <w:i/>
      <w:iCs/>
      <w:color w:val="365F91" w:themeColor="accent1" w:themeShade="BF"/>
    </w:rPr>
  </w:style>
  <w:style w:type="paragraph" w:styleId="CitaoIntensa">
    <w:name w:val="Intense Quote"/>
    <w:basedOn w:val="Normal"/>
    <w:next w:val="Normal"/>
    <w:link w:val="CitaoIntensaChar"/>
    <w:uiPriority w:val="30"/>
    <w:qFormat/>
    <w:rsid w:val="004D7ED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CitaoIntensaChar">
    <w:name w:val="Citação Intensa Char"/>
    <w:basedOn w:val="Fontepargpadro"/>
    <w:link w:val="CitaoIntensa"/>
    <w:uiPriority w:val="30"/>
    <w:rsid w:val="004D7EDB"/>
    <w:rPr>
      <w:rFonts w:asciiTheme="minorHAnsi" w:eastAsiaTheme="minorHAnsi" w:hAnsiTheme="minorHAnsi" w:cstheme="minorBidi"/>
      <w:i/>
      <w:iCs/>
      <w:color w:val="365F91" w:themeColor="accent1" w:themeShade="BF"/>
      <w:kern w:val="2"/>
      <w:sz w:val="24"/>
      <w:szCs w:val="24"/>
      <w14:ligatures w14:val="standardContextual"/>
    </w:rPr>
  </w:style>
  <w:style w:type="character" w:styleId="RefernciaIntensa">
    <w:name w:val="Intense Reference"/>
    <w:basedOn w:val="Fontepargpadro"/>
    <w:uiPriority w:val="32"/>
    <w:qFormat/>
    <w:rsid w:val="004D7ED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072498">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184899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569684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4067365">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7266592">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942806">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070457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19579245">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6999704">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420899">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neel.gov.br/protocolo-digita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neel.gov.br/protocolo-digita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o" ma:contentTypeID="0x01010076C72A5B036275439CFA4524B1EA98A9" ma:contentTypeVersion="7" ma:contentTypeDescription="Crie um novo documento." ma:contentTypeScope="" ma:versionID="f1fcf354340b9880c5d338590e11387b">
  <xsd:schema xmlns:xsd="http://www.w3.org/2001/XMLSchema" xmlns:xs="http://www.w3.org/2001/XMLSchema" xmlns:p="http://schemas.microsoft.com/office/2006/metadata/properties" xmlns:ns2="e2b8fc70-36f2-4c61-8eae-a2e565614d7e" targetNamespace="http://schemas.microsoft.com/office/2006/metadata/properties" ma:root="true" ma:fieldsID="98af9715621a6ac4dbcc5c7d663cef75" ns2:_="">
    <xsd:import namespace="e2b8fc70-36f2-4c61-8eae-a2e565614d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b8fc70-36f2-4c61-8eae-a2e565614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5.xml><?xml version="1.0" encoding="utf-8"?>
<ds:datastoreItem xmlns:ds="http://schemas.openxmlformats.org/officeDocument/2006/customXml" ds:itemID="{725198FD-FCE4-452D-87F6-F573B996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b8fc70-36f2-4c61-8eae-a2e565614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TotalTime>
  <Pages>15</Pages>
  <Words>6645</Words>
  <Characters>35889</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42450</CharactersWithSpaces>
  <SharedDoc>false</SharedDoc>
  <HyperlinkBase/>
  <HLinks>
    <vt:vector size="36" baseType="variant">
      <vt:variant>
        <vt:i4>5898305</vt:i4>
      </vt:variant>
      <vt:variant>
        <vt:i4>3</vt:i4>
      </vt:variant>
      <vt:variant>
        <vt:i4>0</vt:i4>
      </vt:variant>
      <vt:variant>
        <vt:i4>5</vt:i4>
      </vt:variant>
      <vt:variant>
        <vt:lpwstr>http://www.aneel.gov.br/protocolo-digital</vt:lpwstr>
      </vt:variant>
      <vt:variant>
        <vt:lpwstr/>
      </vt:variant>
      <vt:variant>
        <vt:i4>5898305</vt:i4>
      </vt:variant>
      <vt:variant>
        <vt:i4>0</vt:i4>
      </vt:variant>
      <vt:variant>
        <vt:i4>0</vt:i4>
      </vt:variant>
      <vt:variant>
        <vt:i4>5</vt:i4>
      </vt:variant>
      <vt:variant>
        <vt:lpwstr>http://www.aneel.gov.br/protocolo-digital</vt:lpwstr>
      </vt:variant>
      <vt:variant>
        <vt:lpwstr/>
      </vt:variant>
      <vt:variant>
        <vt:i4>7209060</vt:i4>
      </vt:variant>
      <vt:variant>
        <vt:i4>9</vt:i4>
      </vt:variant>
      <vt:variant>
        <vt:i4>0</vt:i4>
      </vt:variant>
      <vt:variant>
        <vt:i4>5</vt:i4>
      </vt:variant>
      <vt:variant>
        <vt:lpwstr>http://www2.aneel.gov.br/cedoc/prt20196143.pdf</vt:lpwstr>
      </vt:variant>
      <vt:variant>
        <vt:lpwstr/>
      </vt:variant>
      <vt:variant>
        <vt:i4>6422582</vt:i4>
      </vt:variant>
      <vt:variant>
        <vt:i4>6</vt:i4>
      </vt:variant>
      <vt:variant>
        <vt:i4>0</vt:i4>
      </vt:variant>
      <vt:variant>
        <vt:i4>5</vt:i4>
      </vt:variant>
      <vt:variant>
        <vt:lpwstr>https://www.gov.br/governodigital/pt-br/governanca-de-dados/GuiaRequisitosdeSIparaContratacoesdeTI.pdf</vt:lpwstr>
      </vt:variant>
      <vt:variant>
        <vt:lpwstr/>
      </vt:variant>
      <vt:variant>
        <vt:i4>524391</vt:i4>
      </vt:variant>
      <vt:variant>
        <vt:i4>3</vt:i4>
      </vt:variant>
      <vt:variant>
        <vt:i4>0</vt:i4>
      </vt:variant>
      <vt:variant>
        <vt:i4>5</vt:i4>
      </vt:variant>
      <vt:variant>
        <vt:lpwstr>mailto:robertostefan@aneel.gov.br</vt:lpwstr>
      </vt:variant>
      <vt:variant>
        <vt:lpwstr/>
      </vt:variant>
      <vt:variant>
        <vt:i4>4194392</vt:i4>
      </vt:variant>
      <vt:variant>
        <vt:i4>0</vt:i4>
      </vt:variant>
      <vt:variant>
        <vt:i4>0</vt:i4>
      </vt:variant>
      <vt:variant>
        <vt:i4>5</vt:i4>
      </vt:variant>
      <vt:variant>
        <vt:lpwstr>https://www.gov.br/governodigital/pt-br/privacidade-e-seguranca/ppsi/guia_requisitos_obrigacoes.pdf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Eydi da Costa Cesário (SGA)</cp:lastModifiedBy>
  <cp:revision>2</cp:revision>
  <cp:lastPrinted>2026-03-23T14:35:00Z</cp:lastPrinted>
  <dcterms:created xsi:type="dcterms:W3CDTF">2026-08-29T00:36:00Z</dcterms:created>
  <dcterms:modified xsi:type="dcterms:W3CDTF">2026-08-29T00:36:00Z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0x01010076C72A5B036275439CFA4524B1EA98A9</vt:lpwstr>
  </property>
  <property fmtid="{D5CDD505-2E9C-101B-9397-08002B2CF9AE}" pid="3" name="MediaServiceImageTags">
    <vt:lpwstr/>
  </property>
  <property fmtid="{D5CDD505-2E9C-101B-9397-08002B2CF9AE}" pid="4" name="docLang">
    <vt:lpwstr>pt</vt:lpwstr>
  </property>
  <property fmtid="{D5CDD505-2E9C-101B-9397-08002B2CF9AE}" pid="5" name="Order">
    <vt:r8>206100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